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9C_720/2010 vom 8. November 2010</w:t>
      </w:r>
    </w:p>
    <w:p>
      <w:r>
        <w:t>Bundesgericht, 2010-11-08, FR</w:t>
      </w:r>
    </w:p>
    <w:p>
      <w:r>
        <w:rPr>
          <w:b/>
        </w:rPr>
        <w:t xml:space="preserve">Quelle: </w:t>
      </w:r>
      <w:r>
        <w:t>https://mcp.opencaselaw.ch/entscheid/bger_9C_720_2010</w:t>
      </w:r>
    </w:p>
    <w:p>
      <w:r>
        <w:t>FR: TF 9C_720/2010 du 8 novembre 2010</w:t>
      </w:r>
    </w:p>
    <w:p>
      <w:r>
        <w:t>IT: TF 9C_720/2010 del 8 novembre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w:t>
      </w:r>
    </w:p>
    <w:p>
      <w:r>
        <w:rPr>
          <w:b/>
        </w:rPr>
        <w:t>E. 2.1</w:t>
      </w:r>
    </w:p>
    <w:p>
      <w:r>
        <w:t>Est litigieux le point de savoir si l'intimé né en 1945 pouvait exploiter sa capacité résiduelle de travail de 50 % sur un marché équilibré du travail.</w:t>
      </w:r>
    </w:p>
    <w:p>
      <w:r>
        <w:rPr>
          <w:b/>
        </w:rPr>
        <w:t>E. 2.2</w:t>
      </w:r>
    </w:p>
    <w:p>
      <w:r>
        <w:t>Les premiers juges ont correctement exposé les principes jurisprudentiels applicables à l'évaluation de l'invalidité d'un assuré proche de l'âge légal donnant droit à une rente de vieillesse. Il suffit donc d'y renvoyer.</w:t>
      </w:r>
    </w:p>
    <w:p>
      <w:r>
        <w:rPr>
          <w:b/>
        </w:rPr>
        <w:t>E. 3.1</w:t>
      </w:r>
    </w:p>
    <w:p>
      <w:r>
        <w:t>L'office recourant reproche à la juridiction cantonale d'avoir reconnu le droit de l'intimé à une rente entière au seul motif que l'âge de celui-ci à l'époque de la décision litigieuse ne lui permettait pratiquement pas de retrouver un emploi avant la survenance de l'âge de la retraite. Il estime que cette appréciation est particulièrement choquante et contraire au droit. Il soutient essentiellement que la capacité de travail de l'assuré était parfaitement exploitable sur le marché équilibré du travail au moment de la naissance du droit à la rente.</w:t>
      </w:r>
    </w:p>
    <w:p>
      <w:r>
        <w:rPr>
          <w:b/>
        </w:rPr>
        <w:t>E. 3.2</w:t>
      </w:r>
    </w:p>
    <w:p>
      <w:r>
        <w:t>Contrairement à ce que soutient l'administration, la reconnaissance par la juridiction cantonale du droit à la rente entière ne repose pas sur une constatation manifestement inexacte des faits ou, plus exactement, sur une appréciation relative au déroulement futur des faits manifestement inexacte. Les premiers juges ne se sont effectivement pas contentés de faire référence à l'âge de l'assuré pour qualifier d'irréaliste l'hypothèse selon laquelle celui-ci ne pourrait de toute façon pas retrouver un emploi avant l'âge de la retraite, mais ont aussi amplement décrit le reste des circonstances, soit le parcours professionnel chaotique de l'intimé qui a connu plusieurs licenciements et changements de postes de travail, qui n'a plus eu d'emploi stable mais surtout des missions temporaires entrecoupées de périodes de chômage depuis 1993 et qui a définitivement cessé toute activité lucrative depuis 2001. Etant donné la désintégration professionnelle décrite et si l'on considère que l'assuré était âgé de près de 59 ans (58 ans et 11 mois) au moment de la naissance du droit aux prestations, l'admission par la juridiction cantonale de l'impossibilité pour l'intimé de mettre concrètement en valeur sa capacité résiduelle de travail sur un marché équilibré du travail ne viole de surcroît pas le droit fédéral (pour des exemples illustrant cette problématique, cf. ULRICH MEYER, Bundesgesetz über die Invalidenversicherung, 2010, p. 273). Ce raisonnement vaut a fortiori si l'on se place au moment de la demande de prestations (8 mars 2005) ou de la décision litigieuse (9 octobre 2008).</w:t>
      </w:r>
    </w:p>
    <w:p>
      <w:r>
        <w:rPr>
          <w:b/>
        </w:rPr>
        <w:t>E. 4</w:t>
      </w:r>
    </w:p>
    <w:p>
      <w:r>
        <w:t>Manifestement infondé, le recours doit donc être rejeté selon la procédure simplifiée de l' art. 109 al. 2 let. a LTF sans qu'il faille ordonner un échange d'écritures. Vu l'issue du litige, les frais judiciaires sont mis à la charge de l'office recourant ( art. 66 al. 1 LTF ). Le présent arrêt rend en outre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