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720/2009 vom 29. September 2009</w:t>
      </w:r>
    </w:p>
    <w:p>
      <w:r>
        <w:t>Bundesgericht, 2009-09-29, DE</w:t>
      </w:r>
    </w:p>
    <w:p>
      <w:r>
        <w:rPr>
          <w:b/>
        </w:rPr>
        <w:t xml:space="preserve">Quelle: </w:t>
      </w:r>
      <w:r>
        <w:t>https://mcp.opencaselaw.ch/entscheid/bger_9C_720_2009</w:t>
      </w:r>
    </w:p>
    <w:p>
      <w:r>
        <w:t>FR: TF 9C 720/2009 du 29 septembre 2009</w:t>
      </w:r>
    </w:p>
    <w:p>
      <w:r>
        <w:t>IT: TF 9C 720/2009 del 29 settembre 2009</w:t>
      </w:r>
    </w:p>
    <w:p>
      <w:pPr>
        <w:pStyle w:val="Heading2"/>
      </w:pPr>
      <w:r>
        <w:t>Regeste</w:t>
      </w:r>
    </w:p>
    <w:p>
      <w:r>
        <w:t>Parteientschädigung | Invalidenversicherung</w:t>
      </w:r>
    </w:p>
    <w:p>
      <w:pPr>
        <w:pStyle w:val="Heading2"/>
      </w:pPr>
      <w:r>
        <w:t>Erwägungen</w:t>
      </w:r>
    </w:p>
    <w:p>
      <w:r>
        <w:rPr>
          <w:b/>
        </w:rPr>
        <w:t>E. 1</w:t>
      </w:r>
    </w:p>
    <w:p>
      <w:r>
        <w:t>Beim (materiell nicht angefochtenen) vorinstanzlichen Rückweisungsentscheid handelt es sich um einen Zwischenentscheid im Sinne von Art. 93 BGG ( BGE 133 V 477 E. 4.2 S. 481 f.). Solche (selbständig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den Ersatz der Parteikosten für das vorinstanzliche Verfahren würde nicht sofort zu einem Endentscheid in der Sache führen. Was das Erfordernis gemäss Art. 93 Abs. 1 lit. a BGG anbelangt, hat das Bundesgericht in BGE 133 V 645 erkannt, dass die Regelung der Kosten- und Entschädigungsfolge in einem Rückweisungsentscheid ebenfalls einen Zwischenentscheid im Sinne von Art. 93 BGG darstellt, auch insofern der nicht wieder gutzumachende Nachteil zu verneinen und daher auf entsprechende Beschwerden nicht einzutreten ist. Diese Rechtsprechung wurde mehrfach bestätigt (vgl. die zahlreichen Hinweise im Urteil 9C_567/2008 vom 30. Oktober 2008, in welchem im Übrigen eine Praxisänderung abgelehnt wurde). Die in einem Rückweisungsentscheid getroffene Regelung der Kosten- und Entschädigungsfolge kann später durchaus noch beim Bundesgericht angefochten werden, entweder selbständig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 9C_567/2008 vom 30. Oktober 2008 E. 4.2 mit Literaturhinweis).</w:t>
      </w:r>
    </w:p>
    <w:p>
      <w:r>
        <w:rPr>
          <w:b/>
        </w:rPr>
        <w:t>E. 2</w:t>
      </w:r>
    </w:p>
    <w:p>
      <w:r>
        <w:t>Auf die im Sinne von Art. 108 Abs. 1 lit. a BGG offensichtlich unzulässige Beschwerde ist im vereinfachten Verfahren nicht einzutreten.</w:t>
      </w:r>
    </w:p>
    <w:p>
      <w:r>
        <w:rPr>
          <w:b/>
        </w:rPr>
        <w:t>E. 3</w:t>
      </w:r>
    </w:p>
    <w:p>
      <w:r>
        <w:t>Gemäss Art. 64 Abs. 1 BGG wird einer Partei die unentgeltliche Rechtspflege gewährt, wenn sie bedürftig ist und ihr Rechtsbegehren nicht aussichtslos erscheint. Die unentgeltliche Verbeiständung setzt gemäss Abs. 2 derselben Bestimmung zusätzlich voraus, dass die anwaltliche Vertretung zur Wahrung der Rechte der bedürftigen Partei notwendig ist. Angesichts der in E. 1 dargelegten gefestigten Rechtsprechung ist das mit der Beschwerde gestellte Rechtsbegehren als aussichtslos zu betrachten. Dem Gesuch um unentgeltliche Rechtspflege (Prozessführung, Verbeiständung) kann demnach nicht stattgegeben werden.</w:t>
      </w:r>
    </w:p>
    <w:p>
      <w:r>
        <w:rPr>
          <w:b/>
        </w:rPr>
        <w:t>E. 4</w:t>
      </w:r>
    </w:p>
    <w:p>
      <w:r>
        <w:t>In Anwendung von Art. 66 Abs. 1 Satz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