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9C_717/2015 vom 22. März 2016</w:t>
      </w:r>
    </w:p>
    <w:p>
      <w:r>
        <w:t>Bundesgericht, 2016-03-22, FR</w:t>
      </w:r>
    </w:p>
    <w:p>
      <w:r>
        <w:rPr>
          <w:b/>
        </w:rPr>
        <w:t xml:space="preserve">Quelle: </w:t>
      </w:r>
      <w:r>
        <w:t>https://mcp.opencaselaw.ch/entscheid/bger_9C_717_2015</w:t>
      </w:r>
    </w:p>
    <w:p>
      <w:r>
        <w:t>FR: TF 9C_717/2015 du 22 mars 2016</w:t>
      </w:r>
    </w:p>
    <w:p>
      <w:r>
        <w:t>IT: TF 9C_717/2015 del 22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la qualification des rémunérations perçues par B.________ pour les activités qu'il a exercées entre 2005 et 2007 pour le compte de A.________SA.</w:t>
      </w:r>
    </w:p>
    <w:p>
      <w:r>
        <w:rPr>
          <w:b/>
        </w:rPr>
        <w:t>E. 2.1</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2.2</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123 V 161 consid. 1 p. 162 et les références).</w:t>
      </w:r>
    </w:p>
    <w:p>
      <w:r>
        <w:rPr>
          <w:b/>
        </w:rPr>
        <w:t>E. 2.3</w:t>
      </w:r>
    </w:p>
    <w:p>
      <w:r>
        <w:t>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 ATF 114 V 65 consid. 2b p. 69 et les références).</w:t>
      </w:r>
    </w:p>
    <w:p>
      <w:r>
        <w:rPr>
          <w:b/>
        </w:rPr>
        <w:t>E. 3.1</w:t>
      </w:r>
    </w:p>
    <w:p>
      <w:r>
        <w:t>Après avoir constaté que B.________ avait été rémunéré entre 2005 et 2007 à hauteur de 146'401 fr. par la recourante, soit une moyenne mensuelle de 4'066 fr., la juridiction cantonale en a déduit qu'il s'agissait d'une collaboration régulière entre les deux parties. En consacrant la majeure partie de son temps à la recourante et compte tenu de l'importance du revenu qu'il en tirait, B.________ se trouvait dans un rapport de dépendance économique, puisque, au moment où la recourante avait décidé d'interrompre abruptement les rapports de travail, il s'était retrouvé dans une situation semblable à celle d'un salarié qui perdait son emploi. B.________ n'assumait en outre pas de véritable risque économique d'entrepreneur, dès lors qu'il n'avait pas opéré d'investissements financiers importants et qu'il n'avait pas à rétribuer du personnel ou à assumer d'importants frais fixes pour l'exercice de son activité. Il ne supportait pas non plus de risque économique pour le produit de son travail, puisqu'il était rémunéré à la tournée et selon des horaires imposés, c'est-à-dire en fonction des heures de travail effectuées ou des tournées faites. Il est vrai que B.________ avait été affilié entre 2005 et 2007 à la Caisse cantonale neuchâteloise de compensation (CCNC) en tant qu'indépendant. Cette inscription n'avait toutefois plus lieu d'être, puisqu'il n'avait plus payé de cotisations personnelles depuis 1997, que ce soit sur l'activité déployée au sein de ses propres sociétés (mises depuis lors en faillite) ou sur l'activité déployée pour le compte de la recourante. Au vu de l'ensemble des circonstances, la juridiction cantonale a considéré, à l'instar des caisses intimées, que B.________ exerçait une activité dépendante de sous-traitant au service de la recourante. Les éléments caractéristiques de la libre entreprise n'étaient en effet pas suffisants pour admettre que B.________ traitait sur un pied d'égalité avec la recourante.</w:t>
      </w:r>
    </w:p>
    <w:p>
      <w:r>
        <w:rPr>
          <w:b/>
        </w:rPr>
        <w:t>E. 3.2</w:t>
      </w:r>
    </w:p>
    <w:p>
      <w:r>
        <w:t>La recourante reproche à la juridiction cantonale d'avoir constaté arbitrairement les faits et, partant, d'avoir violé les art. 12 al. 1 LPGA et 9 al. 1 LAVS en considérant que B.________ exerçait une activité dépendante. Elle soutient qu'aucun élément du dossier ne permettrait de retenir l'existence d'une situation de dépendance ou d'un rapport de subordination. L'argument du lien de dépendance économique était notamment battu en brèche par le caractère irrégulier des revenus de B.________, par l'absence d'obligation d'accomplir personnellement les mandats confiés et par le fait qu'il exerçait d'autres activités en parallèle. S'agissant du risque économique d'entrepreneur, la juridiction cantonale aurait passé sous silence le fait que B.________ disposait de ses propres locaux commerciaux, que son revenu n'était pas assuré du seul fait de son activité de livraison, qu'il n'avait pas d'obligation de rester à la disposition de son mandant et qu'il conservait la possibilité de refuser les mandats qui lui étaient proposés. L'impossibilité structurelle de fixer librement les périodes d'activité était d'ailleurs largement compensée par le fait que cette activité permettait à B.________ d'exercer aisément d'autres activités. La recourante estime en outre que la juridiction cantonale n'était pas habilitée à remettre en cause le bien-fondé de l'inscription depuis 1993 de B.________ en qualité d'indépendant auprès de la CCNC. C'est pour finir à tort que la juridiction cantonale aurait écarté le moyen tiré de la violation du principe de la bonne foi. Les caisses intimées n'étaient pas autorisées selon la recourante à changer la qualification de l'activité exercée par B.________ entre 2005 et 2007, après avoir admis, lors d'un premier contrôle portant sur les années 2001 à 2003, le caractère indépendant de ladite activité.</w:t>
      </w:r>
    </w:p>
    <w:p>
      <w:r>
        <w:rPr>
          <w:b/>
        </w:rPr>
        <w:t>E. 4</w:t>
      </w:r>
    </w:p>
    <w:p>
      <w:r>
        <w:t>En l'occurrence, la juridiction cantonale n'a pas violé le droit en considérant que les rémunérations perçues par B.________ pour les activités qu'il a accomplies entre 2005 et 2007 pour le compte de la recourante résultaient de l'exercice d'une activité dépendante.</w:t>
      </w:r>
    </w:p>
    <w:p>
      <w:r>
        <w:rPr>
          <w:b/>
        </w:rPr>
        <w:t>E. 4.1</w:t>
      </w:r>
    </w:p>
    <w:p>
      <w:r>
        <w:t>La recourante semble partir de la prémisse - erronée - qu'il convient, pour déterminer le statut de cotisant, de procéder à une appréciation globale de la situation de la personne assurée. Ce faisant, elle omet le fait qu'une personne assurée peut exercer plusieurs activités lucratives en parallèle et être assujettie simultanément comme salariée et comme indépendante. Lorsque cela est le cas, il y a lieu de se demander pour chacun des revenus réalisés par la personne assurée si celui-ci provient d'une activité salariée ou d'une activité indépendante ( ATF 122 V 169 consid. 3b p. 172; 104 V 126 consid. 3b p. 127).</w:t>
      </w:r>
    </w:p>
    <w:p>
      <w:r>
        <w:rPr>
          <w:b/>
        </w:rPr>
        <w:t>E. 4.2</w:t>
      </w:r>
    </w:p>
    <w:p>
      <w:r>
        <w:t>Dans le cas d'espèce, la recourante se contente pour l'essentiel d'opposer sa propre conception de la situation à celle retenue par la juridiction cantonale, sans démontrer que celle-ci reposerait sur des motifs insoutenables.</w:t>
      </w:r>
    </w:p>
    <w:p>
      <w:r>
        <w:t>La recourante ne parvient nullement à établir que B.________ supportait un réel risque d'entrepreneur. Elle ne soutient pas que celui-ci agissait dans le cadre de ses activités en son propre nom et pour son propre compte, qu'il employait du personnel à qui il déléguait l'exécution des mandats qui lui étaient confiés, qu'il assumait une responsabilité en cas de livraison défectueuse ou encore qu'il supportait les pertes en cas d'insolvabilité des clients. Si B.________ disposait de ses propres locaux commerciaux, rien n'indique - et la recourante ne le démontre pas - qu'ils servaient concrètement à l'exercice de l'activité litigieuse.</w:t>
      </w:r>
    </w:p>
    <w:p>
      <w:r>
        <w:t>Compte tenu de la nature particulière de l'activité exercée (livraison de journaux au petit matin), celle-ci ne laissait à B.________ qu'une liberté organisationnelle très limitée, les horaires et les parcours des tournées étant imposés par la recourante. La position de B.________ à l'égard de la recourante était par conséquent assimilable à celle d'une personne qui loue ses services. Or il convient d'admettre que le risque encouru dans une telle situation s'apparente, comme l'a relevé la juridiction cantonale, à celui d'un salarié dont l'employeur ne s'acquitte pas du salaire pour un travail accompli et non à celui d'un indépendant qui s'expose à une perte de la substance économique de son entreprise.</w:t>
      </w:r>
    </w:p>
    <w:p>
      <w:r>
        <w:t>Dans la mesure où, par ailleurs, la juridiction cantonale a souligné - sans que la recourante ne conteste l'ampleur des montants mentionnés - que les revenus obtenus par B.________ revêtaient une importance certaine, indice sérieux d'un lien de dépendance économique, force est de reconnaître que les éléments caractéristiques de la libre entreprise, tels que le rattachement à titre d'indépendant auprès d'une caisse de compensation, le caractère irrégulier des mandats ou la liberté laissée à l'intéressé d'accepter ou de refuser les mandats, n'étaient pas suffisants pour que l'on puisse admettre que B.________ traitait sur un pied d'égalité avec la recourante comme le feraient deux entreprises qui entretiennent des liens commerciaux.</w:t>
      </w:r>
    </w:p>
    <w:p>
      <w:r>
        <w:rPr>
          <w:b/>
        </w:rPr>
        <w:t>E. 4.3</w:t>
      </w:r>
    </w:p>
    <w:p>
      <w:r>
        <w:t>La recourante ne saurait se prévaloir du principe de la bonne foi, au motif que les caisses intimées auraient reconnu lors d'un précédent contrôle le statut d'indépendant de B.________. L' art. 68 al. 2 LAVS dispose que l'application des dispositions légales par les employeurs affiliés à une caisse de compensation doit être contrôlée périodiquement. Pour ce faire, l'organe de révision de la caisse de compensation procède à des contrôles sur place, afin de vérifier si l'employeur s'acquitte correctement de ses tâches. Il doit examiner tous les éléments qui permettent de constater les lacunes éventuelles et, le cas échéant, faire rapport à la caisse de compensation s'il s'avère qu'ils s'écartent d'une application correcte de la loi ( art. 162 et 163 RAVS ; voir également les Instructions de l'OFAS aux bureaux de révision sur l'exécution des contrôles d'employeur [IRE]). Quand bien même une solution différente a été admise lors d'un précédent contrôle, le principe de la bonne foi ne saurait par conséquent protéger le justiciable contre une nouvelle appréciation de la situation, sous réserve de l'hypothèse - non réalisée en l'espèce - où celui-ci aurait reçu des assurances particulières et expresses de la caisse de compensation et où les autres conditions prévues par la jurisprudence seraient réunies (sur les conditions posées par la jurisprudence à ce propos, voir ATF 137 I 69 consid. 2.5.1 p. 73; 131 II 627 consid. 6.1 p. 636 et les références).</w:t>
      </w:r>
    </w:p>
    <w:p>
      <w:r>
        <w:rPr>
          <w:b/>
        </w:rPr>
        <w:t>E. 5</w:t>
      </w:r>
    </w:p>
    <w:p>
      <w:r>
        <w:t>Mal fondé, le recours doit par conséquent être rejeté et le jugement entrepris confirmé.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