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9C_717/2009 vom 20. Oktober 2009</w:t>
      </w:r>
    </w:p>
    <w:p>
      <w:r>
        <w:t>Bundesgericht, 2009-10-20, DE</w:t>
      </w:r>
    </w:p>
    <w:p>
      <w:r>
        <w:rPr>
          <w:b/>
        </w:rPr>
        <w:t xml:space="preserve">Quelle: </w:t>
      </w:r>
      <w:r>
        <w:t>https://mcp.opencaselaw.ch/entscheid/bger_9C_717_2009</w:t>
      </w:r>
    </w:p>
    <w:p>
      <w:r>
        <w:t>FR: TF 9C_717/2009 du 20 octobre 2009</w:t>
      </w:r>
    </w:p>
    <w:p>
      <w:r>
        <w:t>IT: TF 9C_717/2009 del 20 ottobre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Hinsichtlich der für die Beurteilung der Streitigkeit massgebenden gesetzlichen Grundlagen sowie der einschlägigen Rechtsprechung namentlich zur Bedeutung und zum Beweiswert ärztlicher Berichte und Gutachten sowie zur Beweiswürdigung ( BGE 132 V 93 E. 4 S. 99 f. mit Hinweisen [insbesondere auf BGE 125 V 256 E. 4 S. 261 f.]; BGE 125 V 351 E. 3 S. 352 ff.; 122 V 157 E. 1c S. 160 ff., je mit Hinweisen; vgl. auch BGE 132 V 393 E. 4.1 S. 400) wird auf die zutreffenden Erwägungen im angefochtenen Entscheid verwiesen.</w:t>
      </w:r>
    </w:p>
    <w:p>
      <w:r>
        <w:rPr>
          <w:b/>
        </w:rPr>
        <w:t>E. 3.1</w:t>
      </w:r>
    </w:p>
    <w:p>
      <w:r>
        <w:t>Nach den im Wesentlichen gestützt auf das bidisziplinäre Gutachten der Dres. med. B.________ und L.________ vom 15. April 2007 getroffenen Tatsachenfeststellungen der Vorinstanz ( BGE 132 V 393 E. 3.2 S. 397 f.) ist die Arbeitsfähigkeit der - an chronischen, teils akut exacerbierenden Nacken- und Rückenbeschwerden sowie an einer anhaltenden somatoformen Schmerzstörung (ICD-10: F45.4), an einer leichten depressiven Episode mit somatischem Syndrom (ICD-10:F32.01) und an sozialen Phobien (ICD-10: F40.1) leidenden - Beschwerdeführerin in der bisherigen und einer vergleichbaren (Hilfs-) Tätigkeit psychisch bedingt um 30 % eingeschränkt.</w:t>
      </w:r>
    </w:p>
    <w:p>
      <w:r>
        <w:rPr>
          <w:b/>
        </w:rPr>
        <w:t>E. 3.2</w:t>
      </w:r>
    </w:p>
    <w:p>
      <w:r>
        <w:t>Die letztinstanzlich dagegen vorgebrachten Einwände sind - soweit nicht von vornherein als im Rahmen von Art. 105 BGG unzulässige appellatorische Kritik an der vorinstanzlichen Beweiswürdigung zu werten - offensichtlich unbegründet: Das kantonale Gericht hat die medizinische Aktenlage vollständig und inhaltlich korrekt dargelegt und anschliessend einlässlich und sachbezogen, insbesondere auch unter zutreffendem Hinweis auf die beweisrechtlich bedeutsame Verschiedenheit von Behandlungs-/Therapieauftrag einerseits und Begutachtungsauftrag andererseits (vgl. BGE 124 I 170 E. 4 S. 175; s. auch I 701/05 vom 5. Januar 2007, E. 2 in fine, mit zahlreichen Hinweisen) die Gründe dargelegt, weshalb es dem erwähnten bidisziplinären Gutachten vom 17. April 2007 im Rahmen der freien Beweiswürdigung ( Art. 61 lit. c ATSG ) ausschlaggebendes Gewicht beimisst und nicht auf die (mehr oder minder) abweichenden Einschätzungen der behandelnden Dres. med. J.________ (Facharzt FMH für Physikalische Medizin; Berichte vom 21. Juni 2004), S.________ (Psychiatrie/ Psychotherapie; Berichte vom 2. Mai 2005 und 22. November 2007) und A.________ (Facharzt FMH für Rheumatologie; Stellungnahme vom 22. Februar 2008) abzustellen ist. Damit hat es den bundesrechtlichen Anforderungen an die Beweiswürdigung (vgl. BGE 132 V 393 E. 4.1 S. 400) Genüge getan; insbesondere sind in der vorinstanzlichen Argumentation weder aktenwidrige Unterstellungen noch - entgegen dem Standpunkt der Beschwerdeführerin - unaufgelöste und unauflösbare Widersprüche erkennbar, welche die Beweiswürdigung als willkürlich oder deren Ergebnis als offensichtlich unrichtig erscheinen lassen und zusätzlichen Abklärungsbedarf begründen. Vor diesem Hintergrund besteht im Rahmen der begrenzten Sachverhaltskontrolle gemäss Art. 105 BGG kein Raum für eine bundesgerichtliche Korrektur.</w:t>
      </w:r>
    </w:p>
    <w:p>
      <w:r>
        <w:rPr>
          <w:b/>
        </w:rPr>
        <w:t>E. 3.3</w:t>
      </w:r>
    </w:p>
    <w:p>
      <w:r>
        <w:t>Zu keinem andern Ergebnis führt insbesondere der beschwerdeführerische Einwand, die Vorinstanz habe das bundesrechtlich vorgegebene Beweismass der überwiegenden Wahrscheinlichkeit verletzt; dieses könne mit einem numerischen Wahrscheinlichkeitswert von 75 % beziffert werden. 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ist, dass er der wahrscheinlichste aller in Betracht fallenden Geschehensabläufe - bei zwei möglichen Sachverhaltsvarianten: die wahrscheinlichere - ist (vgl. BGE 126 V 360 E. 5b, 125 V 195 E. 2, je mit Hinweisen; vgl. auch 130 III 324 f. E. 3.2 und 3.3), und zudem begründeterweise angenommen werden darf, dass weitere Beweismassnahmen an diesem feststehenden Ergebnis nichts mehr ändern (vgl. Urteil des Eidg. Versicherungsgerichts I 362/99 vom 8. Februar 2000 [E. 4, mit Hinweisen], publ. in: SVR 2001 IV Nr. 10 S. 28; vgl. auch BGE 131 I 153 E. 3 S. 157, 130 II 425 E. 2.1 S. 428, 124 I 208 E. 4a S. 211, je mit Hinweisen); ein Wahrscheinlichkeitsgrad von generell 75 % ist damit offensichtlich nicht vorausgesetzt. Dass die Vorinstanz jener Arbeitsfähigkeitseinschätzung gefolgt ist, die sie bei objektiver Betrachtung als am wahrscheinlichsten den Tatsachen entsprechend eingestuft hat, stellt somit keine Beweismassverletzung dar. Bei genauer Betrachtung betrifft die Rüge der Beschwerdeführerin denn auch nicht die Rechtsfrage nach dem richtigen Beweismass, sondern bezieht sie sich auch in diesem Punkte auf die konkrete vorinstanzliche Beweiswürdigung und damit auf Tatfragen, deren Ergänzung oder Berichtigung nach dem unter E. 3.2 hievor Gesagten hier ausser Betracht fällt.</w:t>
      </w:r>
    </w:p>
    <w:p>
      <w:r>
        <w:rPr>
          <w:b/>
        </w:rPr>
        <w:t>E. 4</w:t>
      </w:r>
    </w:p>
    <w:p>
      <w:r>
        <w:t>Der mit Bezug auf die konkrete Invaliditätsbemessung nach Art. 16 (Einkommensvergleich) einzig vorgebrachte Einwand, die Vorinstanz habe das trotz Gesundheitsschadens zumutbare, aufgrund der Tabellenlöhne der vom Bundesamt für Statistik herausgegebenen Lohnstrukturerhebungen (LSE) ermittelte Einkommen (Invalideneinkommen) ermessensmissbräuchlich (vgl. E. 1 hievor) bloss um einen leidensbedingten Abzug von 10 % gekürzt (zur Einstufung als Ermessensfrage: BGE 132 393 E. 3.3 S. 399; vgl. auch BGE 134 V 322 E. 5.3 S. 328), ist ebenfalls offensichtlich unbegründet, legt doch die Beschwerdeführerin in keiner Weise substantiiert dar und ist auch nicht ersichtlich, inwiefern die vorinstanzliche Ermessensausübung von unsachlichen, dem Zweck des leidensbedingten Abzugs ( BGE 134 V 322 E. 5.2 S. 327 f., mit Hinweisen) zuwiderlaufenden Erwägungen geleitet sein oder sie Verfassungsvorgaben wie das Willkürverbot, das Gebot von Treu und Glauben, den Rechtsgleichheitsgrundsatz oder den Grundsatz der Verhältnismässigkeit (vgl. Art. 9, Art. 8 und Art. 5 Abs. 2 und 3 BV ; BGE 123 V 152 E. 2 mit Hinweisen) missachtet haben soll. Namentlich liegt kein Ermessensmissbrauch im Umstand, dass die Vorinstanz im hier zu beurteilenden Fall weder das Alter der Versicherten (Jahrgang 1966) noch den Ausländerstatus (Niederlassungsbewilligung C) als einen relevanten Abzugsfaktor eingestuft hat (vgl. LSE 2004, TA9, S. 65 und TA12, S. 69 [je Frauen/Anforderungsniveau 4]). Eine allenfalls lohnmindernde Auswirkung des Ausländerstatus und gegebenenfalls anderer invaliditätsfremder Faktoren wurde im Übrigen vom kantonalen Gericht mittels "Parallelisierung" der Vergleichseinkommen berücksichtigt (angefochtener Entscheid, E. 4.2 in fine; vgl. auch BGE 8C_652/2008 vom 8. Mai 2009, E. 6); für einen leidensbedingten Abzug zufolge Ausländerstatus besteht bereits deswegen kein Raum (Urteil 8C_484/2008 vom 4. Juni 2009 E. 5.2.2).</w:t>
      </w:r>
    </w:p>
    <w:p>
      <w:r>
        <w:rPr>
          <w:b/>
        </w:rPr>
        <w:t>E. 5</w:t>
      </w:r>
    </w:p>
    <w:p>
      <w:r>
        <w:t>Die offensichtlich unbegründete Beschwerde wird im Verfahren nach Art. 109 Abs. 2 lit. a BGG und ohne Durchführung eines Schriftenwechsels erledigt ( Art. 102 Abs. 1 BGG ).</w:t>
      </w:r>
    </w:p>
    <w:p>
      <w:r>
        <w:rPr>
          <w:b/>
        </w:rPr>
        <w:t>E. 6</w:t>
      </w:r>
    </w:p>
    <w:p>
      <w:r>
        <w:t>Die Gerichtskosten ( Art. 65 BGG ) gehen ausgangsgemäss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