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9C_716/2015 vom 30. November 2015</w:t>
      </w:r>
    </w:p>
    <w:p>
      <w:r>
        <w:t>Bundesgericht, 2015-11-30, FR</w:t>
      </w:r>
    </w:p>
    <w:p>
      <w:r>
        <w:rPr>
          <w:b/>
        </w:rPr>
        <w:t xml:space="preserve">Quelle: </w:t>
      </w:r>
      <w:r>
        <w:t>https://mcp.opencaselaw.ch/entscheid/bger_9C_716_2015</w:t>
      </w:r>
    </w:p>
    <w:p>
      <w:r>
        <w:t>FR: TF 9C_716/2015 du 30 novembre 2015</w:t>
      </w:r>
    </w:p>
    <w:p>
      <w:r>
        <w:t>IT: TF 9C_716/2015 del 30 novembre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Eu égard aux conclusions prises par la recourante en procédure fédérale, le litige porte sur le droit de celle-ci à une rente de l'assurance-invalidité au-delà du 31 mars 2012, singulièrement sur le degré d'invalidité qu'elle présente depuis cette date. Le jugement entrepris expose correctement les dispositions légales et principes jurisprudentiels en matière de révision de la rente d'invalidité ( art. 17 LPGA ), de sorte qu'il suffit d'y renvoyer.</w:t>
      </w:r>
    </w:p>
    <w:p>
      <w:r>
        <w:rPr>
          <w:b/>
        </w:rPr>
        <w:t>E. 3.1</w:t>
      </w:r>
    </w:p>
    <w:p>
      <w:r>
        <w:t>Se fondant sur les conclusions convergentes des docteurs F.________ et H.________, la juridiction cantonale a constaté que le deuil pathologique et la dépression réactionnelle que la recourante avait présentés à la suite du décès de son fils s'étaient estompés, pour faire peu à peu place à un trouble somatoforme douloureux. En effet, l'état dépressif réactionnel initialement diagnostiqué ne présentait à ce jour plus les caractères de sévérité susceptibles de le distinguer sans conteste d'un trouble somatoforme au sens de la jurisprudence. Le syndrome douloureux somatoforme persistant apparu postérieurement n'empêchait en revanche pas la recourante de travailler; elle était apte, lorsque la décision litigieuse a été rendue, à reprendre son activité habituelle avec, tout au plus, une diminution de rendement de 20 à 30 %. S'agissant de l'évolution dans le temps de la capacité de travail, la juridiction cantonale a retenu que la recourante avait été totalement incapable de travailler du 25 octobre 2007 au 31 décembre 2009, avait présenté une capacité de travail de 30 % du 1er janvier au 31 juin 2010 et de 50 % du 1er juillet 2010 au 31 décembre 2010, puis avait recouvré une capacité de travail entière avec une diminution de rendement de 30 % au plus dans son activité habituelle à partir du 9 décembre 2011 (date de l'expertise du docteur H.________).</w:t>
      </w:r>
    </w:p>
    <w:p>
      <w:r>
        <w:rPr>
          <w:b/>
        </w:rPr>
        <w:t>E. 3.2</w:t>
      </w:r>
    </w:p>
    <w:p>
      <w:r>
        <w:t>La recourante reproche à la juridiction cantonale d'avoir procédé à une constatation manifestement inexacte des faits pertinents, consécutive à une mauvaise appréciation des preuves, et d'avoir violé le droit fédéral, en jugeant que les expertises établies par les docteurs F.________ et H.________ permettaient de nier le caractère invalidant du trouble somatoforme douloureux dont elle est atteinte. Dans la mesure où les expertises précitées avaient été établies sur la base de la présomption - désormais obsolète - du caractère surmontable d'un trouble somatoforme douloureux, elles ne répondaient pas aux exigences posées par la jurisprudence la plus récente du Tribunal fédéral en matière de troubles psychosomatiques ( ATF 141 V 281 ). Fort de ce constat, il aurait à tout le moins convenu d'ordonner la mise en oeuvre d'une nouvelle expertise psychiatrique établie conformément aux réquisits jurisprudentiels les plus récents.</w:t>
      </w:r>
    </w:p>
    <w:p>
      <w:r>
        <w:rPr>
          <w:b/>
        </w:rPr>
        <w:t>E. 4.1</w:t>
      </w:r>
    </w:p>
    <w:p>
      <w:r>
        <w:t>Par définition, les expertises psychiatriques en matière de troubles somatoformes douloureux et autres troubles psychosomatiques comparables réalisées avant la réception de l' ATF 141 V 281 ont été rendues à la lumière de la présomption - abandonnée désormais - posée à l' ATF 130 V 352 , selon laquelle ces troubles ou leurs effets peuvent être surmontés par un effet de volonté raisonnablement exigible, et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 Tribunal fédéral l'a précisé, il convient bien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 ATF 141 V 281 consid. 8 p. 309).</w:t>
      </w:r>
    </w:p>
    <w:p>
      <w:r>
        <w:rPr>
          <w:b/>
        </w:rPr>
        <w:t>E. 4.2</w:t>
      </w:r>
    </w:p>
    <w:p>
      <w:r>
        <w:t>En l'espèce, la juridiction cantonale a admis que les expertises réalisées par les docteurs F.________ et H.________ permettaient de procéder à une évaluation circonstanciée de la situation eu égard aux aspects déterminants fixés dans la grille d'évaluation définie par le Tribunal fédéral. La recourante se limite pour sa part à exposer que les conclusions des docteurs F.________ et H.________ reposaient sur la prémisse - désormais erronée - qu'un trouble somatoforme douloureux était objectivement surmontable et ne présentait, en principe, pas un caractère invalidant. Ce faisant, elle ne cherche pas à établir, en se référant explicitement à la nouvelle jurisprudence du Tribunal fédéral, que la juridiction cantonale aurait méconnu la portée de celle-ci en retenant le caractère complet et suffisant des deux rapports en cause. En particulier, elle ne tente pas de mettre en lumière qu'un ou plusieurs indicateurs déterminants n'auraient pas pu être évalués à satisfaction de droit au regard des observations contenues dans les expertises. Faute de discuter la motivation retenue dans le jugement attaqué, la recourante ne démontre par conséquent pas que la juridiction cantonale aurait méconnu le droit.</w:t>
      </w:r>
    </w:p>
    <w:p>
      <w:r>
        <w:rPr>
          <w:b/>
        </w:rPr>
        <w:t>E. 4.3</w:t>
      </w:r>
    </w:p>
    <w:p>
      <w:r>
        <w:t>Au demeurant, il y a lieu de constater, à la lecture des deux rapports en cause, que les experts ont fait état d'éléments en suffisance pour porter une appréciation circonstanciée du trouble somatoforme douloureux présenté par la recourante. Ainsi, le docteur F.________ a indiqué que la recourante était capable de maintenir un certain rythme et programme journalier, qu'elle était au moins partiellement en mesure de s'occuper de son ménage, que d'autres options thérapeutiques que le suivi ambulatoire étaient ouvertes et qu'elle disposait, malgré un certain retrait social, de ressources pour surmonter ses troubles psychiques; sous l'angle de la cohérence, l'expert a, tout en reconnaissant l'existence certaine d'une grande souffrance, mis en évidence "une attitude souvent assez démonstrative et dramatique avec une certaine tendance à l'aggravation". Pour sa part, le docteur H.________ a effectué ses observations cliniques en fonction de l'échelle psychopathologique de l'Association internationale pour la méthodologie et la documentation en psychiatrie (AMDP) et fourni des éléments suffisants pour examiner le complexe relatif à la personnalité de la recourante; il a indiqué que le tableau psychopathologique évoquait quelques items significatifs, lesquels étaient cependant essentiellement issus des énoncés de la recourante et "très peu corrélés avec les observations"; s'il a reconnu par ailleurs un certain ralentissement psychomoteur, il a souligné qu'il existait un très fort décalage entre les appréciations de la recourante et les siennes et, partant, conclu à une atteinte psychique mineure.</w:t>
      </w:r>
    </w:p>
    <w:p>
      <w:r>
        <w:rPr>
          <w:b/>
        </w:rPr>
        <w:t>E. 4.4</w:t>
      </w:r>
    </w:p>
    <w:p>
      <w:r>
        <w:t>Eu égard aux griefs allégués, il n'y a par conséquent pas lieu de s'écarter de l'appréciation des faits retenue par la juridiction cantonale et, partant, de la solution à laquelle celle-ci est parvenue dans son jugement du 26 août 2015.</w:t>
      </w:r>
    </w:p>
    <w:p>
      <w:r>
        <w:rPr>
          <w:b/>
        </w:rPr>
        <w:t>E. 5</w:t>
      </w:r>
    </w:p>
    <w:p>
      <w:r>
        <w:t>Mal fondé, le recours doit être rejeté. La recourante, qui succombe, supportera les frais judiciaires afférents à la présente procédure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