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9C_715/2024 vom 18. Februar 2025</w:t>
      </w:r>
    </w:p>
    <w:p>
      <w:r>
        <w:t>Bundesgericht, 2025-02-18, DE</w:t>
      </w:r>
    </w:p>
    <w:p>
      <w:r>
        <w:rPr>
          <w:b/>
        </w:rPr>
        <w:t xml:space="preserve">Quelle: </w:t>
      </w:r>
      <w:r>
        <w:t>https://mcp.opencaselaw.ch/entscheid/bger_9C_715_2024</w:t>
      </w:r>
    </w:p>
    <w:p>
      <w:r>
        <w:t>FR: TF 9C_715/2024 du 18 février 2025</w:t>
      </w:r>
    </w:p>
    <w:p>
      <w:r>
        <w:t>IT: TF 9C_715/2024 del 18 febbraio 2025</w:t>
      </w:r>
    </w:p>
    <w:p>
      <w:pPr>
        <w:pStyle w:val="Heading2"/>
      </w:pPr>
      <w:r>
        <w:t>Erwägungen</w:t>
      </w:r>
    </w:p>
    <w:p>
      <w:r>
        <w:rPr>
          <w:b/>
        </w:rPr>
        <w:t>E. 1</w:t>
      </w:r>
    </w:p>
    <w:p>
      <w:r>
        <w:t>Mit Urteil vom 5. November 2024 wies das Verwaltungsgericht des Kantons Aargau eine Beschwerde von A.A.________ und B.A.________ gegen einen Entscheid des Spezialverwaltungsgerichts vom 21. September 2023 betreffend Kantons- und Gemeindesteuern 2016 ab, soweit es darauf eintrat. Es hielt fest, die von den Beschwerdeführern geltend gemachten Nichtigkeitsgründe lägen nicht vor, darüber hinaus setzten sich die Beschwerdeführer nicht mit dem angefochtenen Entscheid auseinander. A.A.________ und B.A.________ lassen gegen dieses Urteil Beschwerde in öffentlich-rechtlichen Angelegenheiten führen und sinngemäss die Feststellung der Nichtigkeit des Urteils des Verwaltungsgerichts beantragen.</w:t>
      </w:r>
    </w:p>
    <w:p>
      <w:r>
        <w:rPr>
          <w:b/>
        </w:rPr>
        <w:t>E. 2.1</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140 III 115 E. 2).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Rein appellatorische Kritik ist nicht ausreichend ( BGE 145 I 26 E. 1.3; 140 III 264 E. 2.3).</w:t>
      </w:r>
    </w:p>
    <w:p>
      <w:r>
        <w:rPr>
          <w:b/>
        </w:rPr>
        <w:t>E. 2.2</w:t>
      </w:r>
    </w:p>
    <w:p>
      <w:r>
        <w:t>Das Bundesgericht legt seinem Urteil den Sachverhalt zugrunde, den die Vorinstanz festgestellt hat ( Art. 105 Abs. 1 BGG ; BGE 149 I 207 E. 5.5; 149 II 43 E. 3.5; 149 IV 57 E. 2.2; 149 V 108 E. 4). Die vorinstanzlichen Sachverhaltsfeststellungen können von Amtes wegen oder auf Rüge hin berichtigt werden, wenn sie offensichtlich unvollständig oder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150 II 346 E. 1.6; 149 II 43 E. 3.6.4; 149 V 156 E. 6.2; vorne E. 1.2).</w:t>
      </w:r>
    </w:p>
    <w:p>
      <w:r>
        <w:rPr>
          <w:b/>
        </w:rPr>
        <w:t>E. 3</w:t>
      </w:r>
    </w:p>
    <w:p>
      <w:r>
        <w:t>Die Beschwerdeführer gehen in ihrer Eingabe nicht auf das kantonale Urteil ein und rügen pauschal eine Verletzung von Art. 8 Abs. 2 BV , ohne darzulegen, worin sie eine Diskriminierung durch das Verwaltungsgericht erkennen. Die erwähnten Geschehnisse insbesondere aus den Jahren 2011 bis 2012 sowie diverse Kontakte mit anderen Behörden sind nicht Streitgegenstand des angefochtenen Urteils und können somit auch nicht Inhalt des vorliegenden Beschwerdeverfahrens sein. Die Ausführungen über eine Verletzung des rechtlichen Gehörs oder die angeblich fehlerhafte Feststellung des Sachverhalts beziehen sich nicht auf das Verfahren vor dem Verwaltungsgericht, sondern auf das Vorhergehende vor dem Spezialverwaltungsgericht, wobei sie den vorinstanzlichen Tatsachenfeststellungen lediglich ihre eigene Sicht entgegenstellen. Dass sie diese Rügen bereits im vorinstanzlichen Verfahren vorgebracht hätten, machen die Beschwerdeführer nicht geltend. Eine willkürliche Feststellung des Sachverhalts oder eine Verletzung des rechtlichen Gehörs durch das Verwaltungsgericht wird nicht explizit gerügt.</w:t>
      </w:r>
    </w:p>
    <w:p>
      <w:r>
        <w:rPr>
          <w:b/>
        </w:rPr>
        <w:t>E. 4</w:t>
      </w:r>
    </w:p>
    <w:p>
      <w:r>
        <w:t>Auf die Beschwerde ist mangels einer hinreichenden Begründung im Verfahren nach Art. 108 Abs. 1 lit. b BGG nicht einzutreten. Die unterliegenden Beschwerdeführer haben die Kosten des bundesgerichtlichen Verfahrens unter solidarischer Haftung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