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9C_714/2020 vom 1. Dezember 2020</w:t>
      </w:r>
    </w:p>
    <w:p>
      <w:r>
        <w:t>Bundesgericht, 2020-12-01, DE</w:t>
      </w:r>
    </w:p>
    <w:p>
      <w:r>
        <w:rPr>
          <w:b/>
        </w:rPr>
        <w:t xml:space="preserve">Quelle: </w:t>
      </w:r>
      <w:r>
        <w:t>https://mcp.opencaselaw.ch/entscheid/bger_9C_714_2020</w:t>
      </w:r>
    </w:p>
    <w:p>
      <w:r>
        <w:t>FR: TF 9C_714/2020 du 1 décembre 2020</w:t>
      </w:r>
    </w:p>
    <w:p>
      <w:r>
        <w:t>IT: TF 9C_714/2020 del 1 dicembre 2020</w:t>
      </w:r>
    </w:p>
    <w:p>
      <w:pPr>
        <w:pStyle w:val="Heading2"/>
      </w:pPr>
      <w:r>
        <w:t>Volltext</w:t>
      </w:r>
    </w:p>
    <w:p>
      <w:r>
        <w:t>Bundesgericht</w:t>
      </w:r>
    </w:p>
    <w:p>
      <w:r>
        <w:t>Tribunal fédéral</w:t>
      </w:r>
    </w:p>
    <w:p>
      <w:r>
        <w:t>Tribunale federale</w:t>
      </w:r>
    </w:p>
    <w:p>
      <w:r>
        <w:t>Tribunal federal</w:t>
      </w:r>
    </w:p>
    <w:p>
      <w:r>
        <w:t>9C_714/2020</w:t>
      </w:r>
    </w:p>
    <w:p>
      <w:r>
        <w:t>Urteil vom 1. Dezember 2020</w:t>
      </w:r>
    </w:p>
    <w:p>
      <w:r>
        <w:t>II. sozialrechtliche Abteilung</w:t>
      </w:r>
    </w:p>
    <w:p>
      <w:r>
        <w:t>Besetzung</w:t>
      </w:r>
    </w:p>
    <w:p>
      <w:r>
        <w:t>Bundesrichter Parrino, Präsident,</w:t>
      </w:r>
    </w:p>
    <w:p>
      <w:r>
        <w:t>Gerichtsschreiber Grünenfelder.</w:t>
      </w:r>
    </w:p>
    <w:p>
      <w:r>
        <w:t>Verfahrensbeteiligte</w:t>
      </w:r>
    </w:p>
    <w:p>
      <w:r>
        <w:t>A.________,</w:t>
      </w:r>
    </w:p>
    <w:p>
      <w:r>
        <w:t>vertreten durch Rechtsanwalt Stefan La Ragione,</w:t>
      </w:r>
    </w:p>
    <w:p>
      <w:r>
        <w:t>Beschwerdeführer,</w:t>
      </w:r>
    </w:p>
    <w:p>
      <w:r>
        <w:t>gegen</w:t>
      </w:r>
    </w:p>
    <w:p>
      <w:r>
        <w:t>Ausgleichskasse des Kantons Thurgau, Rechts- und Einsprachedienst,</w:t>
      </w:r>
    </w:p>
    <w:p>
      <w:r>
        <w:t>St. Gallerstrasse 11, 8500 Frauenfeld,</w:t>
      </w:r>
    </w:p>
    <w:p>
      <w:r>
        <w:t>Beschwerdegegnerin,</w:t>
      </w:r>
    </w:p>
    <w:p>
      <w:r>
        <w:t>B.________.</w:t>
      </w:r>
    </w:p>
    <w:p>
      <w:r>
        <w:t>Gegenstand</w:t>
      </w:r>
    </w:p>
    <w:p>
      <w:r>
        <w:t>Alters- und Hinterlassenenversicherung,</w:t>
      </w:r>
    </w:p>
    <w:p>
      <w:r>
        <w:t>Beschwerde gegen den Entscheid des Verwaltungsgerichts des Kantons Thurgau</w:t>
      </w:r>
    </w:p>
    <w:p>
      <w:r>
        <w:t>vom 9. September 2020 (VV.2019.295/E).</w:t>
      </w:r>
    </w:p>
    <w:p>
      <w:r>
        <w:t>Nach Einsicht</w:t>
      </w:r>
    </w:p>
    <w:p>
      <w:r>
        <w:t>in die Beschwerde vom 9. November 2020 (Poststempel) gegen den Entscheid des Verwaltungsgerichts des Kantons Thurgau vom 9. September 2020 betreffend Schadenersatz nach Art. 52 AHVG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des Beschwerdeführers diese inhaltlichen Mindestanforderungen offensichtlich nicht erfüllt, da den Ausführungen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soweit der Beschwerdeführer die Feststellungen des kantonalen Gerichts zur Schadenshöhe beanstandet, er seine Einwände - wie schon im vorinstanzlichen Verfahren - nicht ansatzweise substanziiert,</w:t>
      </w:r>
    </w:p>
    <w:p>
      <w:r>
        <w:t>dass er sich auch hinsichtlich Widerrechtlichkeit und Verschulden einzig darauf beschränkt, seine eigene Sichtweise wiederzugeben sowie rein appellatorische Kritik zu üben, was nicht ausreicht ( BGE 140 III 264 E. 2.3 S. 266 mit Hinweisen),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B.________, dem Verwaltungsgericht des Kantons Thurgau und dem Bundesamt für Sozialversicherungen schriftlich mitgeteilt.</w:t>
      </w:r>
    </w:p>
    <w:p>
      <w:r>
        <w:t>Luzern, 1. Dezember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