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714/2008 vom 6. August 2009</w:t>
      </w:r>
    </w:p>
    <w:p>
      <w:r>
        <w:t>Bundesgericht, 2009-08-06, FR</w:t>
      </w:r>
    </w:p>
    <w:p>
      <w:r>
        <w:rPr>
          <w:b/>
        </w:rPr>
        <w:t xml:space="preserve">Quelle: </w:t>
      </w:r>
      <w:r>
        <w:t>https://mcp.opencaselaw.ch/entscheid/bger_9C_714_2008</w:t>
      </w:r>
    </w:p>
    <w:p>
      <w:r>
        <w:t>FR: TF 9C 714/2008 du 6 août 2009</w:t>
      </w:r>
    </w:p>
    <w:p>
      <w:r>
        <w:t>IT: TF 9C 714/2008 del 6 agosto 2009</w:t>
      </w:r>
    </w:p>
    <w:p>
      <w:pPr>
        <w:pStyle w:val="Heading2"/>
      </w:pPr>
      <w:r>
        <w:t>Regeste</w:t>
      </w:r>
    </w:p>
    <w:p>
      <w:r>
        <w:t>Assurance-invalidité | Assurance-invalidité</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divergeant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Le litige a trait à la suppression, par voie de révision, du droit de l'intimée à une rente entière d'invalidité, singulièrement porte sur le point de savoir si les conséquences de l'état de santé sur sa capacité de gain ont subi un changement important.</w:t>
      </w:r>
    </w:p>
    <w:p>
      <w:r>
        <w:rPr>
          <w:b/>
        </w:rPr>
        <w:t>E. 2.1</w:t>
      </w:r>
    </w:p>
    <w:p>
      <w:r>
        <w:t>Selon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Pour qu'une décision de révision entrée en force constitue elle aussi une (nouvelle) base de comparaison dans le cadre d'une autre révision, il faut qu'elle repose sur un examen matériel du droit à la rente avec une constatation des faits pertinents, une appréciation des preuves et une comparaison des revenus conformes au droit ( ATF 133 V 108 ).</w:t>
      </w:r>
    </w:p>
    <w:p>
      <w:r>
        <w:rPr>
          <w:b/>
        </w:rPr>
        <w:t>E. 2.2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 Il en va de même de la question de savoir si la capacité de travail, respectivement l'incapacité de travail, de l'assuré s'est modifiée d'une manière déterminante sous l'angle de la révision au cours d'une certaine période (arrêts 9C_413/2008 du 14 novembre 2008 et 9C_270/2008 du 12 août 2008).</w:t>
      </w:r>
    </w:p>
    <w:p>
      <w:r>
        <w:rPr>
          <w:b/>
        </w:rPr>
        <w:t>E. 3</w:t>
      </w:r>
    </w:p>
    <w:p>
      <w:r>
        <w:t>Les premiers juges ont considéré que la suppression du droit à la rente ne pouvait prendre effet que le 1er août 2007. Se fondant sur les conclusions des experts du 19 mai 2008, dont ils ont admis qu'elles avaient pleine valeur probante, ils ont retenu qu'à la date du 1er août 2007 l'incapacité de travail de l'intimée était totale, depuis le 15 juin 2007 - date de la décision de suppression du droit à la rente - jusqu'au 15 mai 2008 en tout cas. La décision du 15 juin 2007 devait dès lors être annulée, en tant qu'elle supprimait le droit à la rente à une époque où l'incapacité de travail était (à nouveau) totale.</w:t>
      </w:r>
    </w:p>
    <w:p>
      <w:r>
        <w:rPr>
          <w:b/>
        </w:rPr>
        <w:t>E. 3.1</w:t>
      </w:r>
    </w:p>
    <w:p>
      <w:r>
        <w:t>En fait, à l'examen des motifs qu'ils ont développés et pour autant qu'on puisse les suivre, les premiers juges ont étendu la procédure juridictionnelle à l'incapacité de travail reconnue par les experts A.________ et T.________ à partir du 15 juin 2007.</w:t>
      </w:r>
    </w:p>
    <w:p>
      <w:r>
        <w:rPr>
          <w:b/>
        </w:rPr>
        <w:t>E. 3.1.1</w:t>
      </w:r>
    </w:p>
    <w:p>
      <w:r>
        <w:t>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122 V 34 consid. 2a p. 36 et les références).</w:t>
      </w:r>
    </w:p>
    <w:p>
      <w:r>
        <w:rPr>
          <w:b/>
        </w:rPr>
        <w:t>E. 3.1.2</w:t>
      </w:r>
    </w:p>
    <w:p>
      <w:r>
        <w:t>La décision du 15 juin 2007 supprimait le droit de l'intimée à une rente d'invalidité au motif qu'elle ne présentait plus à cette date qu'une invalidité de 33 %, puisque tant l'expert L.________ que les médecins du SMR lui reconnaissaient une capacité de travail exigible de 80 % dans l'activité habituelle ou une autre adaptée depuis le 26 janvier 2006. Les experts mis en oeuvre par les premiers juges ont confirmé la capacité de travail exigible retenue à partir du 26 janvier 2006 dans la procédure administrative; cependant, ils ont relevé une incapacité totale de travail à dater du 15 juin 2007 ou de la signification par le recourant de la suppression du droit à la rente. La survenance d'une nouvelle incapacité de travail, faisant suite à la décision attaquée et à la capacité de travail exigible retenue jusque-là, ne permet plus de parler d'un état de fait commun permettant l'extension de la procédure juridictionnelle. Sur ce point le jugement cantonal s'avère contraire au droit fédéral.</w:t>
      </w:r>
    </w:p>
    <w:p>
      <w:r>
        <w:rPr>
          <w:b/>
        </w:rPr>
        <w:t>E. 3.1.3</w:t>
      </w:r>
    </w:p>
    <w:p>
      <w:r>
        <w:t>En outre, un autre élément ne permettrait pas de parler d'un état de fait commun autorisant l'extension de la procédure judiciaire à l'incapacité de travail présentée à partir du 15 juin 2007; dans le cas d'espèce, indépendamment de la question de l'incapacité de travail présentée dès cette date, se poserait au surplus celle de son étiologie ou de l'origine à laquelle celle-ci devrait être rapportée. En effet, il s'agirait de savoir si l'incapacité de travail présentée à partir du 15 juin 2007 est de même origine que celle présentée par l'intimée entre le 27 mars 2002 et fin janvier 2006, ce que semblent suggérer les experts judiciaires ( art. 29bis RAI ), ou d'une origine différente et d'une nouvelle atteinte à la santé, comme le prétend l'office AI ( art. 29 LAI , dans sa teneur en vigueur jusqu'au 31 décembre 2007). Au demeurant, sur ce point essentiel, la juridiction cantonale n'a effectué aucune constatation de fait.</w:t>
      </w:r>
    </w:p>
    <w:p>
      <w:r>
        <w:rPr>
          <w:b/>
        </w:rPr>
        <w:t>E. 3.2</w:t>
      </w:r>
    </w:p>
    <w:p>
      <w:r>
        <w:t>Enfin, on fera remarquer à la juridiction cantonale que, dans l'hypothèse d'une extension possible de la procédure juridictionnelle (non admise en l'espèce), pour statuer sur la décision attaquée, elle n'aurait pu limiter son examen au droit à la rente pour la période s'écoulant à partir du 1er août 2007, mais aurait dû prendre en compte l'évolution du droit à la rente pendant toute la période antérieure couverte par la décision attaquée, soit examiner la capacité de travail exigible et l'incidence de celle-ci sur la capacité de gain pendant toute cette période.</w:t>
      </w:r>
    </w:p>
    <w:p>
      <w:r>
        <w:rPr>
          <w:b/>
        </w:rPr>
        <w:t>E. 4</w:t>
      </w:r>
    </w:p>
    <w:p>
      <w:r>
        <w:t>Dès lors, il s'agit d'examiner la conformité au droit fédéral de la décision du 15 juin 2007, en ne tenant compte que des faits existant au moment où cette décision a été rendue ( ATF 121 V 362 consid. 1b p. 366 et les arrêts cités).</w:t>
      </w:r>
    </w:p>
    <w:p>
      <w:r>
        <w:rPr>
          <w:b/>
        </w:rPr>
        <w:t>E. 4.1</w:t>
      </w:r>
    </w:p>
    <w:p>
      <w:r>
        <w:t>Ainsi, et il convient sur ce point de compléter d'office les constatations de la juridiction cantonale ( art. 105 al. 2 LTF ), il y a lieu de retenir que l'intimée a présenté une capacité de travail de 80 % à partir du 30 janvier 2006, date de la deuxième expertise du docteur L.________, les conclusions de l'expert sur ce point étant confirmées aussi bien par les médecins du SMR dans leurs avis médicaux des 24 août 2006 et 12 juin 2007 que par les experts judiciaires dans leur rapport du 19 mai 2008.</w:t>
      </w:r>
    </w:p>
    <w:p>
      <w:r>
        <w:rPr>
          <w:b/>
        </w:rPr>
        <w:t>E. 4.2</w:t>
      </w:r>
    </w:p>
    <w:p>
      <w:r>
        <w:t>S'agissant de l'incidence de ce changement sur le taux d'invalidité, on pouvait raisonnablement attendre de l'intimée qu'elle reprenne l'activité d'ouvrière dans l'horlogerie avec une capacité de travail exigible de 80 % (expertise du docteur L.________ du 30 janvier 2006, expertise judiciaire du 19 mai 2008), ce qui revient à nier toute invalidité à partir du 30 avril 2006 (comparaison en pour-cent; ATF 114 V 310 consid. 3a p. 313, 104 V 135 consid. 2b p. 136 s.; art. 88a al. 1 RAI ). Les conditions d'une révision du droit à une rente entière d'invalidité étaient ainsi réunies lors de la décision du 15 juin 2007 pour supprimer le droit de l'intimée à la rente ( art. 17 LPGA ).</w:t>
      </w:r>
    </w:p>
    <w:p>
      <w:r>
        <w:rPr>
          <w:b/>
        </w:rPr>
        <w:t>E. 4.3</w:t>
      </w:r>
    </w:p>
    <w:p>
      <w:r>
        <w:t>Cela étant, le dossier doit être renvoyé à l'office AI pour qu'il examine l'incapacité de travail relevée par les experts judiciaires à partir du 15 juin 2007 ainsi que son origine, puis rende une décision.</w:t>
      </w:r>
    </w:p>
    <w:p>
      <w:r>
        <w:rPr>
          <w:b/>
        </w:rPr>
        <w:t>E. 5</w:t>
      </w:r>
    </w:p>
    <w:p>
      <w:r>
        <w:t>Vu l'issue du litige, les frais judiciaires doivent être mis à la charge de l'intimée,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