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9C_713/2009 vom 22. Juli 2010</w:t>
      </w:r>
    </w:p>
    <w:p>
      <w:r>
        <w:t>Bundesgericht, 2010-07-22, FR</w:t>
      </w:r>
    </w:p>
    <w:p>
      <w:r>
        <w:rPr>
          <w:b/>
        </w:rPr>
        <w:t xml:space="preserve">Quelle: </w:t>
      </w:r>
      <w:r>
        <w:t>https://mcp.opencaselaw.ch/entscheid/bger_9C_713_2009</w:t>
      </w:r>
    </w:p>
    <w:p>
      <w:r>
        <w:t>FR: TF 9C_713/2009 du 22 juillet 2010</w:t>
      </w:r>
    </w:p>
    <w:p>
      <w:r>
        <w:t>IT: TF 9C_713/2009 del 22 luglio 2010</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jugement entrepris expose correctement les dispositions légales et la jurisprudence applicables en matière d'évaluation de l'invalidité et de révision de la rente, de sorte qu'il suffit d'y renvoyer.</w:t>
      </w:r>
    </w:p>
    <w:p>
      <w:r>
        <w:rPr>
          <w:b/>
        </w:rPr>
        <w:t>E. 2.1</w:t>
      </w:r>
    </w:p>
    <w:p>
      <w:r>
        <w:t>Dans un premier grief, le recourant reproche implicitement à la juridiction cantonale d'avoir procédé à une constatation manifestement inexacte des faits pertinents consécutive à une mauvaise appréciation des preuves. Il estime qu'il serait arbitraire de considérer que l'amélioration éventuelle de son trouble dépressif soit à elle seule suffisante pour supprimer la rente entière d'invalidité. En substance, il fait grief aux premiers juges d'avoir ignoré l'existence des troubles neuropsychologiques qui l'affecteraient - attestés par les docteurs M.________ et B.________ - et l'influence du syndrome somatoforme douloureux.</w:t>
      </w:r>
    </w:p>
    <w:p>
      <w:r>
        <w:rPr>
          <w:b/>
        </w:rPr>
        <w:t>E. 2.2</w:t>
      </w:r>
    </w:p>
    <w:p>
      <w:r>
        <w:t>Cela étant, le recourant n'explique pas véritablement en quoi le résultat de l'appréciation des preuves à laquelle la Cour des assurance sociales du Tribunal cantonal a procédé serait manifestement insoutenable. Les premiers juges se sont appliqués à examiner de façon exhaustive et minutieuse l'ensemble des documents médicaux recueillis au cours de la procédure de révision et à les comparer avec les éléments qui avaient constitué le fondement du droit à la rente. Ils ont ainsi mis en évidence que l'obstacle à la reprise d'une activité lucrative adaptée aux limitations physiques constatées et, partant, l'octroi de la rente d'invalidité résultaient principalement de l'existence d'un état dépressif grave, aujourd'hui amendé (page 13 du rapport d'expertise du 28 novembre 1996 de la Clinique X.________). Comme le soulignent les premiers juges, les conclusions des experts ne faisaient pas mention de l'influence de troubles somatoformes douloureux sur la capacité de travail. En revanche, il est vrai que les experts avaient fait état de perturbations de la mémoire et de capacités d'apprentissage limitant considérablement les possibilités réelles d'adaptation à des situations nouvelles (page 13); il s'agissait cependant de plaintes connues de longue date (page 11), qui ne l'avaient pas empêché d'exercer une activité lucrative. Qui plus est, les limitations décrites ne relevaient pas du champ strictement médical, mais étaient motivées par des considérations de nature socio-économique, qui ne ressortissent pas à l'assurance-invalidité (cf. ATF 127 V 294 ). Dans le cadre de la procédure de révision, les docteurs M.________ et B.________ ont du reste précisé qu'il était difficile d'imputer les faibles performances neuropsychologiques de l'assuré à un déficit cognitif, au vu de sa faible scolarisation et de sa maîtrise sommaire du français (rapport du 31 août 2005). Quant au docteur A.________, il a pu apprécier un niveau d'intelligence normal, congruent au niveau de l'éducation reçue et aux divers emplois exercés dans le domaine manuel; il a considéré que l'assuré avait de nombreuses ressources sur le plan neurocognitif qui lui permettaient de s'investir dans une formation, dès lors qu'il possédait des facultés de compréhension et de mémoire préservées et des capacités de concentration et de persévérance adéquates (page 5 et 13 du rapport de consilium de psychiatrie du 18 mai 2006). En conséquence de ce qui précède, il n'y a pas lieu de s'écarter de l'appréciation qu'a faite la juridiction cantonale des pièces médicales au dossier, en retenant que le recourant disposait, moyennant une légère diminution de rendement, d'une capacité de travail presque complète dans une activité adaptée.</w:t>
      </w:r>
    </w:p>
    <w:p>
      <w:r>
        <w:rPr>
          <w:b/>
        </w:rPr>
        <w:t>E. 3.1</w:t>
      </w:r>
    </w:p>
    <w:p>
      <w:r>
        <w:t>Le recourant fait grief à la juridiction cantonale de n'avoir pas tenu compte de ses capacités limitées d'adaptation. En plus des limitations fonctionnelles reconnues, les limitations de nature psychique, l'âge, l'absence de formation ou encore la durée de son éloignement du marché du travail renderaient totalement illusoire l'obtention d'une place de travail. Dans ce contexte, il appartenait à tout le moins à l'office AI de concrétiser la nature des emplois qu'il pouvait encore exercer.</w:t>
      </w:r>
    </w:p>
    <w:p>
      <w:r>
        <w:rPr>
          <w:b/>
        </w:rPr>
        <w:t>E. 3.2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mai 2009 consid. 4 et I 819/04 du 27 mai 2005 consid. 2.2 et les références).</w:t>
      </w:r>
    </w:p>
    <w:p>
      <w:r>
        <w:rPr>
          <w:b/>
        </w:rPr>
        <w:t>E. 3.3</w:t>
      </w:r>
    </w:p>
    <w:p>
      <w:r>
        <w:t>En l'espèce, la juridiction cantonale a constaté - de manière à lier le Tribunal fédéral - que le recourant pouvait exercer à plein temps une activité adaptée à ses limitations fonctionnelles, sous réserve d'une diminution de rendement de 20 %. Cette activité de substitution ne devait pas comprendre d'efforts physiques importants, d'efforts prolongés et répétitifs avec le port de charges légères ou encore des mouvements répétés en torsion ou anteflexion-rétroflexion du tronc, et ne nécessiter aucun port de charges supérieures à 10 kilos ni maintien de positions statiques assises ou debout prolongées. Si les limitations fonctionnelles décrites par la juridiction cantonale peuvent de prime abord sembler conséquentes, elles représentent en fait les mesures classiques d'épargne en vue d'éviter les douleurs provoquées par une pathologie de la colonne vertébrale. D'un point de vue strictement médical, le recourant est objectivement en mesure de reprendre l'exercice d'une activité lucrative. Il n'y a pas lieu de suivre par analogie le raisonnement développé dans l'arrêt 9C_313/2007 du 9 janvier 2008 dont se prévaut le recourant, la situation différant fondamentalement de la présente affaire.</w:t>
      </w:r>
    </w:p>
    <w:p>
      <w:r>
        <w:rPr>
          <w:b/>
        </w:rPr>
        <w:t>E. 3.4</w:t>
      </w:r>
    </w:p>
    <w:p>
      <w:r>
        <w:t>Sur le plan personnel et professionnel, la mise en valeur de la capacité résiduelle de travail du recourant dans une activité adaptée est également exigible. Âgé de 57 ans au moment de la décision litigieuse, il n'avait pas encore atteint l'âge à partir duquel la jurisprudence considère généralement qu'il n'existe plus de possibilité réaliste de mise en valeur de la capacité résiduelle de travail sur un marché du travail supposé équilibré. Si l'âge actuel du recourant,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qu'un nombre significatif sont adaptées aux limitations du recourant et accessibles sans aucune formation particulière. A titre d'exemples, on peut citer des tâches simples de surveillance, de vérification ou de contrôle.</w:t>
      </w:r>
    </w:p>
    <w:p>
      <w:r>
        <w:rPr>
          <w:b/>
        </w:rPr>
        <w:t>E. 4.1</w:t>
      </w:r>
    </w:p>
    <w:p>
      <w:r>
        <w:t>Le recourant conteste en dernier lieu le taux d'abattement retenu par la juridiction cantonale pour déterminer le revenu d'invalide de l'assuré. Il soutient que celle-ci a fait preuve d'arbitraire en ne retenant qu'un abattement de 15 %, lequel est manifestement insuffisant au regard de son absence du marché du travail pendant quinze ans, de son rendement réduit, de son origine étrangère et de son absence de formation.</w:t>
      </w:r>
    </w:p>
    <w:p>
      <w:r>
        <w:rPr>
          <w:b/>
        </w:rPr>
        <w:t>E. 4.2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(cf.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4.3</w:t>
      </w:r>
    </w:p>
    <w:p>
      <w:r>
        <w:t>En l'espèce, l'office intimé, dont les motifs ont été repris par la juridiction cantonale, est resté dans les limites de son pouvoir d'appréciation en retenant un abattement de 15 % sur le salaire statistique. Celui-ci tient compte de manière appropriée des effets que l'âge du recourant (57 ans), la nature de ses limitations fonctionnelles et son absence prolongée du marché du travail peuvent jouer concrètement sur ses perspectives salariales dans le cadre de l'exercice d'une activité simple, légère et ne nécessitant pas de formation particulière. A cet égard, c'est à juste titre que l'appréciation ne tient pas compte de la diminution de rendement subie par le recourant, dès lors que l'évaluation de la capacité résiduelle de travail inclut déjà cet élément. De même, les limitations fonctionnelles présentées par le recourant - somme toute communes au regard des pathologies diagnostiquées - ne présentent pas de spécificités telles qu'il y aurait lieu de les prendre en considération au titre de la déduction sur le salaire statistique. Pour le reste, on ne voit pas, à la lumière de l'argumentation du recourant, que l'une ou l'autre circonstance pertinente aurait été ignorée ou, à tout le moins, appréciée de manière manifestement insoutenable. Les difficultés linguistiques, le manque de formation professionnelle ou la capacité d'apprentissage réduite ne peuvent être considérés comme des critères déterminants au regard de la nature des activités encore exigibles.</w:t>
      </w:r>
    </w:p>
    <w:p>
      <w:r>
        <w:rPr>
          <w:b/>
        </w:rPr>
        <w:t>E. 5</w:t>
      </w:r>
    </w:p>
    <w:p>
      <w:r>
        <w:t>Mal fondé, le recours doit être rejeté. Les frais afférents à la présente procédure seront supportés par le recourant qui succombe ( art. 66 al. 1 LTF ). Il a cependant déposé une demande d'assistance judiciaire visant à la dispense des frais judiciaires. Vu que son recours n'apparaissait pas d'emblée voué à l'échec et qu'il émarge à l'aide sociale, il en remplit les conditions ( art. 64 al. 1 LTF ). Il est toutefois rendu attentif au fait qu'il devra rembourser la caisse du Tribunal, s'il retrouve ultérieurement une situation financière lui permettant de le faire ( art. 64 al. 4 LTF ).</w:t>
      </w:r>
    </w:p>
    <w:p>
      <w:r>
        <w:t>Par ces moitifs,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