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713/2007 vom 8. August 2008</w:t>
      </w:r>
    </w:p>
    <w:p>
      <w:r>
        <w:t>Bundesgericht, 2008-08-08, FR</w:t>
      </w:r>
    </w:p>
    <w:p>
      <w:r>
        <w:rPr>
          <w:b/>
        </w:rPr>
        <w:t xml:space="preserve">Quelle: </w:t>
      </w:r>
      <w:r>
        <w:t>https://mcp.opencaselaw.ch/entscheid/bger_9C_713_2007</w:t>
      </w:r>
    </w:p>
    <w:p>
      <w:r>
        <w:t>FR: TF 9C 713/2007 du 8 août 2008</w:t>
      </w:r>
    </w:p>
    <w:p>
      <w:r>
        <w:t>IT: TF 9C 713/2007 del 8 agosto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La recourante ne conteste ni le changement de méthode d'évaluation, ni le choix de la méthode mixte d'évaluation de l'invalidité, ni la répartition des champs d'activité entre activité lucrative et accomplissement des travaux habituels (à raison de 80 et 20 %). De même ne remet-elle pas en question l'évaluation de ses empêchements dans la part qu'elle consacre à ses travaux habituels. Elle reproche en revanche aux premiers juges d'avoir évalué de manière erronée son invalidité pour la part qu'elle consacre à son activité lucrative. Se fondant sur l'avis exprimé par Jean-Louis Duc (Du droit à une rente de l'AI des personnes n'exerçant une activité lucrative qu'à temps partiel. Le Tribunal fédéral des assurances ignore-t-il la loi ?, PJA 2005 p. 1423 ss), elle invite le Tribunal fédéral à revenir sur la jurisprudence publiée aux ATF 125 V 146 , selon laquelle l'invalidité des personnes exerçant une activité lucrative à temps partiel, indépendamment du fait qu'elles se consacrent en outre à leurs travaux habituels, doit être déterminée en fonction de l'activité lucrative réelle ou hypothétique qui met pleinement à profit leur capacité résiduelle de travail.</w:t>
      </w:r>
    </w:p>
    <w:p>
      <w:r>
        <w:rPr>
          <w:b/>
        </w:rPr>
        <w:t>E. 3.1</w:t>
      </w:r>
    </w:p>
    <w:p>
      <w:r>
        <w:t>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 art. 28 al. 2ter LAI en corrélation avec les art. 27bis RAI et 16 LPGA, ainsi que l' art. 28 al. 2bis LAI en corrélation avec les art. 27 RAI et 8 al. 3 LPGA).</w:t>
      </w:r>
    </w:p>
    <w:p>
      <w:r>
        <w:rPr>
          <w:b/>
        </w:rPr>
        <w:t>E. 3.2</w:t>
      </w:r>
    </w:p>
    <w:p>
      <w:r>
        <w:t>Ainsi, lorsqu'il y a lieu d'appliquer la méthode mixte d'évaluation, l'invalidité des assurés pour la part qu'ils consacrent à leur activité lucrative doit être évaluée selon la méthode ordinaire de comparaison des revenus ( art. 28 al. 2ter LAI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sans invalidité). Autrement dit, le dernier salaire que l'assuré aurait pu obtenir compte tenu de l'évolution vraisemblable de la situation jusqu'au prononcé de la décision litigieuse - et non celui qu'il aurait pu réaliser s'il avait pleinement utilisé ses possibilités de gain ( ATF 125 V 146 consid. 5c/bb p. 157) - est comparé au gain hypothétique qu'il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w:t>
      </w:r>
    </w:p>
    <w:p>
      <w:r>
        <w:rPr>
          <w:b/>
        </w:rPr>
        <w:t>E. 3.3</w:t>
      </w:r>
    </w:p>
    <w:p>
      <w:r>
        <w:t>Au consid. 5 de l'arrêt I 156/04 du 13 décembre 2005 (publié in SVR 2006 IV n° 42 p. 151), le Tribunal fédéral s'est expliqué de manière détaillée sur les raisons pour lesquelles il n'y avait pas lieu de revenir sur la jurisprudence développée à l' ATF 125 V 146 et répondu aux diverses critiques émises par la doctrine. L'article précité de Jean-Louis Duc ne contenant aucun élément véritablement nouveau qui justifierait de réexaminer cette pratique, le recours se révèle dès lors mal fondé sur ce point.</w:t>
      </w:r>
    </w:p>
    <w:p>
      <w:r>
        <w:rPr>
          <w:b/>
        </w:rPr>
        <w:t>E. 4.1</w:t>
      </w:r>
    </w:p>
    <w:p>
      <w:r>
        <w:t>Cela étant, 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 ATF 134 V 9 ; voir également arrêt I 156/04 du 13 décembre 2005, consid. 6.2, publié in SVR 2006 IV n° 42 p. 151).</w:t>
      </w:r>
    </w:p>
    <w:p>
      <w:r>
        <w:rPr>
          <w:b/>
        </w:rPr>
        <w:t>E. 4.2.1</w:t>
      </w:r>
    </w:p>
    <w:p>
      <w:r>
        <w:t>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w:t>
      </w:r>
    </w:p>
    <w:p>
      <w:r>
        <w:rPr>
          <w:b/>
        </w:rPr>
        <w:t>E. 4.2.2</w:t>
      </w:r>
    </w:p>
    <w:p>
      <w:r>
        <w:t>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w:t>
      </w:r>
    </w:p>
    <w:p>
      <w:r>
        <w:rPr>
          <w:b/>
        </w:rPr>
        <w:t>E. 4.3</w:t>
      </w:r>
    </w:p>
    <w:p>
      <w:r>
        <w:t>Malgré le degré d'invalidité globale de 39 % retenu par l'office AI, il ne se justifie pas en l'espèce de renvoyer la cause à l'administration pour qu'elle instruise la question des effets réciproques. Dans la mesure où la recourante n'a pas repris concrètement d'activité lucrative après la naissance de ses enfants, il n'y a en effet pas de place pour procéder à un abattement supplémentaire sur la capacité de la recourante à accomplir ses travaux habituels. Il apparaît par ailleurs que l'exercice d'une activité - essentiellement intellectuelle - d'employée de bureau ou de secrétaire est particulièrement complémentaire avec l'accomplissement des tâches - plutôt physiques - liées à la conduite d'un ménage. Certes, le docteur I.________, médecin traitant de la recourante, a indiqué que la capacité de travail de sa patiente était réduite de moitié dans son activité de secrétaire en raison de la persistance de dorsalgies invalidantes lors de positions assises prolongées (rapport du 6 mars 2003). Rien ne permet toutefois de penser que la reprise d'une activité de secrétaire à mi-temps - considérée à l'époque de la décision initiale d'octroi de la rente comme idéale par le docteur P.________ (rapport d'expertise du 9 décembre 1999) - conduirait à une exacerbation des douleurs actuelles - constantes depuis de nombreuses années - et, partant, à une diminution plus importante de la capacité de la recourante à accomplir ses travaux habituels. De plus, en retenant un empêchement global de 43,1 % dans l'accomplissement des travaux habituels, l'enquête économique sur le ménage réalisée dans le cadre de la procédure de révision tient largement compte de l'ensemble des limitations physiques touchant la recourante (difficultés à se baisser, à adopter des positions en porte-à-faux ou à porter des charges), au regard du soutien que peut lui apporter son mari et du temps dont elle dispose pour répartir les différentes tâches qu'elle doit assumer au titre de ses travaux habituels. S'agissant plus particulièrement de la question des soins aux enfants, on relèvera que l'enquête a retenu de manière bienveillante que la recourante n'était plus que partiellement en mesure de prendre soin de ses enfants et fixé l'empêchement correspondant à 50 %.</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