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9C_712/2014 vom 31. März 2015</w:t>
      </w:r>
    </w:p>
    <w:p>
      <w:r>
        <w:t>Bundesgericht, 2015-03-31, DE</w:t>
      </w:r>
    </w:p>
    <w:p>
      <w:r>
        <w:rPr>
          <w:b/>
        </w:rPr>
        <w:t xml:space="preserve">Quelle: </w:t>
      </w:r>
      <w:r>
        <w:t>https://mcp.opencaselaw.ch/entscheid/bger_9C_712_2014</w:t>
      </w:r>
    </w:p>
    <w:p>
      <w:r>
        <w:t>FR: TF 9C_712/2014 du 31 mars 2015</w:t>
      </w:r>
    </w:p>
    <w:p>
      <w:r>
        <w:t>IT: TF 9C_712/2014 del 31 marzo 2015</w:t>
      </w:r>
    </w:p>
    <w:p>
      <w:pPr>
        <w:pStyle w:val="Heading2"/>
      </w:pPr>
      <w:r>
        <w:t>Erwägungen</w:t>
      </w:r>
    </w:p>
    <w:p>
      <w:r>
        <w:rPr>
          <w:b/>
        </w:rPr>
        <w:t>E. 1</w:t>
      </w:r>
    </w:p>
    <w:p>
      <w:r>
        <w:t>Das Hauptbegehren der Beschwerde ist zulässig, soweit damit die Abweisung der Klage vom 22. Mai 2013 beantragt wird. Hingegen ist auf das Feststellungsbegehren der Beschwerdeführerin mangels Rechtsschutzinteresse nicht einzutreten (zur Zulässigkeit von Feststellungsbegehren im Bereich der beruflichen Vorsorge: BGE 128 V 41 E. 3a S. 48; vgl. auch BGE 132 V 18 E. 2.1 S. 21).</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t>Eine Sachverhaltsfeststellung ist nicht schon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ihre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3</w:t>
      </w:r>
    </w:p>
    <w:p>
      <w:r>
        <w:t>Die Vorinstanz hat die gesetzlichen Bestimmungen über den Anspruch auf eine Invalidenrente aus der beruflichen Vorsorge und deren Beginn ( Art. 23 und 26 Abs. 1 BVG ) zutreffend wiedergegeben. Gleiches gilt hinsichtlich der Rechtsprechung zur relevanten Arbeitsunfähigkeit im Sinne von Art. 23 lit. a BVG ( BGE 134 V 20 E. 3.2.2 S. 23) sowie zur Bindungswirkung der Feststellungen der IV-Organe für die Vorsorgeeinrichtungen im Bereich der obligatorischen beruflichen Vorsorge ( BGE 132 V 1 E. 3 S. 3; 130 V 270 E. 3.1 S. 273 f.; je mit Hinweisen). Darauf wird verwiesen.</w:t>
      </w:r>
    </w:p>
    <w:p>
      <w:r>
        <w:rPr>
          <w:b/>
        </w:rPr>
        <w:t>E. 4.1</w:t>
      </w:r>
    </w:p>
    <w:p>
      <w:r>
        <w:t>Nach den verbindlichen (E. 2 hievor) Feststellungen des kantonalen Gerichts hat die IV-Stelle die Rentenverfügung vom 3. Mai 2005 der Beschwerdeführerin formgültig eröffnet. Diese ist unangefochten in Rechtskraft erwachsen. Die Vorinstanz zog daraus den Schluss, es bestehe für die Beschwerdeführerin grundsätzlich eine Bindung an die Feststellungen der IV-Stelle. Dem kann gefolgt werden. Zum einen ist die Anmeldung zum Leistungsbezug nicht als im Sinne von Art. 48 Abs. 2 IVG (in Kraft gestanden bis Ende 2007) verspätet zu qualifizieren (Urteil 9C_414/2007 vom 25. Juli 2008 E. 2; zum geltenden Recht: Urteil 9C_620/2012 vom 16. Oktober 2012 E. 2.4, in: SVR 2013 BVG Nr. 17 S. 67). Zum anderen geht das Vorsorgereglement unter Hinweis auf das Gesetz vom selben Invaliditätsbegriff wie die Invalidenversicherung aus, womit sich die Bindungswirkung auch auf den überobligatorischen Bereich erstreckt ( BGE 126 V 308 E. 1 i.f. S. 311 mit Hinweisen; Urteil 9C_858/2010 vom 17. Mai 2011 E. 2.3.1). Damit sind - wie das kantonale Gericht zutreffend darlegte - die von den IV-Organen getroffenen Feststellungen, insbesondere in Bezug auf den Eintritt der invalidisierenden Arbeitsunfähigkeit ( BGE 130 V 270 E. 3.1 S. 273 f.), für die Beschwerdeführerin verbindlich, sofern sie nicht offensichtlich unhaltbar sind.</w:t>
      </w:r>
    </w:p>
    <w:p>
      <w:r>
        <w:rPr>
          <w:b/>
        </w:rPr>
        <w:t>E. 4.2</w:t>
      </w:r>
    </w:p>
    <w:p>
      <w:r>
        <w:t>Gilt im Verfahren der beruflichen Vorsorge die Bindungswirkung an den Entscheid der Invalidenversicherung, ist die Frage, ob die Festlegungen der IV-Stelle offensichtlich unhaltbar sind, nach der Aktenlage zu beurteilen, wie sie sich bei Verfügungserlass präsentierte. Nachträglich geltend gemachte Tatsachen oder Beweismittel, welche die Verwaltung nicht von Amtes wegen hätte erheben müssen, sind nicht geeignet, die Festlegungen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130 V 270 E. 3.1 S. 273; 126 V 308 E. 2a S. 311).</w:t>
      </w:r>
    </w:p>
    <w:p>
      <w:r>
        <w:rPr>
          <w:b/>
        </w:rPr>
        <w:t>E. 5.1</w:t>
      </w:r>
    </w:p>
    <w:p>
      <w:r>
        <w:t>Die Vorinstanz erwog, die rezidivierende depressive Störung sei gemäss Aktenlage ca. 1994/1995 diagnostiziert worden, wobei nur zwei Arbeitsunfähigkeitsbescheinigungen (im Jahr 1997: 40-45 %; ab September 2002: ca. 50 %) vorlägen. Hingegen lägen keine Anhaltspunkte für eine allfällige Arbeitsunfähigkeit zwischen (Mai) 1997 und September 2002 vor. Im Gegenteil seien während des Arbeitsverhältnisses bei der C.________ AG keine nennenswerten Arbeitsausfälle bzw. Krankheitsabsenzen zu verzeichnen. Zudem habe Dr. med. F.________, Spital B.________, im Bericht vom 7. Mai 2003 ausgeführt, der Beschwerdegegner sei bei der C.________ AG vollzeitig tätig gewesen. Auch habe Dr. med. F.________ den Eintritt der Arbeitsunfähigkeit nicht vor September 2002 festgelegt. Mithin sei zwischen 1997 und 2002 eine echtzeitliche, ärztlich bescheinigte Arbeitsunfähigkeit nicht ausgewiesen. Ferner habe die C.________ AG in der Austrittsmeldung vom 19. August 2002 zu Handen ihrer Pensionskasse bestätigt, dass der Beschwerdegegner zur Zeit des Dienstaustritts voll arbeitsfähig gewesen sei. Der einzige Hinweis darauf, dass der Beschwerdegegner während des Arbeitsverhältnisses bei der C.________ AG allenfalls in seiner Leistungsfähigkeit eingeschränkt gewesen sein könnte, sei die Ausrichtung eines Soziallohnanteils. Dies allein genüge jedoch nicht, um einen offensichtlichen Eintritt der teilweisen Arbeitsunfähigkeit vor September 2002 zu belegen. Die Auskunft der C.________ AG vom 5. November 2009, wonach der Beschwerdegegner seit Eintritt in die Unternehmung aus gesundheitlichen Gründen nicht die volle Leistung erbracht und der Lohn nicht der Leistung entsprochen habe, habe der IV-Stelle im Zeitpunkt des Verfügungserlasses nicht vorgelegen. Ohnehin vermöchte diese keine echtzeitliche Arbeitsunfähigkeitsbescheinigung zu ersetzen. Zusammenfassend sei der von der IV-Stelle auf September 2002 hin festgesetzte Beginn der Arbeitsunfähigkeit nicht geradezu offensichtlich unhaltbar bzw. willkürlich und damit für die Beschwerdeführerin bindend.</w:t>
      </w:r>
    </w:p>
    <w:p>
      <w:r>
        <w:rPr>
          <w:b/>
        </w:rPr>
        <w:t>E. 5.2</w:t>
      </w:r>
    </w:p>
    <w:p>
      <w:r>
        <w:t>Die Beschwerdeführerin rügt, die Vorinstanz habe den Sachverhalt willkürlich gewürdigt. Dem Arbeitgeberfragebogen vom 24. April 2003 sei zu entnehmen, dass der Beschwerdegegner bei der C.________ AG nie eine volle Arbeitsleistung erbracht habe und im ausgerichteten Lohn eine Soziallohnkomponente von 40 % enthalten gewesen sei. Mit anderen Worten seien zwar keine Absenzen ausgewiesen, doch sei die Leistung des Beschwerdegegners auf (lediglich) 60 % zu beziffern. Dies werde von der C.________ AG mit Schreiben vom 10. November 2009 bestätigt. Das darauf folgende Arbeitsverhältnis bei der E.________ AG sei u.a. unter Hinweis auf mangelnde Arbeitsleistung aufgelöst worden. Daraus ergebe sich, dass eine Teilarbeitsunfähigkeit bereits während des Arbeitsverhältnisses bei der C.________ AG bestanden habe. Der per September 2002 angesetzte Beginn der Wartefrist sei aktenwidrig und ein Abstellen darauf zur Begründung der Leistungspflicht willkürlich. Indem die Vorinstanz verlange, dass eine Arbeitsunfähigkeit echtzeitlich ausgewiesen und ärztlich bescheinigt sei, widerspreche sie der Rechtsprechung. Diese verlange nur, dass sich die Arbeitsunfähigkeit sinnfällig auf das Arbeitsverhältnis ausgewirkt habe, was mit der Ausrichtung eines Soziallohns der Fall sei.</w:t>
      </w:r>
    </w:p>
    <w:p>
      <w:r>
        <w:rPr>
          <w:b/>
        </w:rPr>
        <w:t>E. 5.3</w:t>
      </w:r>
    </w:p>
    <w:p>
      <w:r>
        <w:t>Die Allianz wendet ein, die Würdigung der Vorinstanz, welche alle relevanten Gesichtspunkte berücksichtigt habe und wonach die Festlegung des Beginns der Arbeitsunfähigkeit durch die IV-Stelle nicht qualifiziert unrichtig sei, sei nicht zu beanstanden. Gerade unter Berücksichtigung der konstanten Lohnerhöhungen, der seltenen Krankheitsabsenzen und der überaus positiven Beurteilung im Schlusszeugnis könne nicht mit dem erforderlichen Beweisgrad der überwiegenden Wahrscheinlichkeit auf Soziallohn geschlossen werden. Überdies würden die in der Beschwerde genannten Aktenstücke nicht korrekt bzw. mit unzutreffenden Datumsangaben zitiert.</w:t>
      </w:r>
    </w:p>
    <w:p>
      <w:r>
        <w:rPr>
          <w:b/>
        </w:rPr>
        <w:t>E. 5.4</w:t>
      </w:r>
    </w:p>
    <w:p>
      <w:r>
        <w:t>Der Beschwerdegegner ergänzt, die angebliche Leistungsminderung und die Soziallohnkomponente von 40 % seien von der ehemaligen Arbeitgeberin nur im Rahmen von sozialversicherungsrechtlichen Fragestellungen erwähnt worden. Ihm oder Dritten gegenüber sei diese Angabe nie kommuniziert worden, obschon dies im Arbeitszeugnis oder anderweitig hätte angegeben werden müssen. Die Richtigkeit dieser Angabe müsse deshalb hinterfragt werden.</w:t>
      </w:r>
    </w:p>
    <w:p>
      <w:r>
        <w:rPr>
          <w:b/>
        </w:rPr>
        <w:t>E. 6.1</w:t>
      </w:r>
    </w:p>
    <w:p>
      <w:r>
        <w:t>Wie die Vorinstanz für das Bundesgericht verbindlich festgestellt hat, liegen für die Zeit zwischen 1. Mai 1997 bis Ende August 2002 weder ärztliche Atteste über eine Arbeitsunfähigkeit vor noch wurden von Seiten der C.________ AG (nennenswerte) Krankheitsabsenzen verzeichnet (vgl. Absenzenübersicht der Jahre 1999-2002). Weiter hat die Vorinstanz auf die Austrittsmeldung zur Kollektivversicherung vom 19. August 2002 abgestellt, in welcher die C.________ AG die Frage, ob der austretende Versicherte zur Zeit des Dienstaustritts voll arbeitsfähig sei, mit "ja" beantwortet, die Zeilen zum Grad der Arbeitsunfähigkeit und zur Ursache der Arbeitsunfähigkeit leer gelassen und auch sonst keine Bemerkungen hinzugefügt hat. Namentlich hat die Arbeitgeberin nicht angegeben, der Austretende sei in seiner Leistungsfähigkeit eingeschränkt gewesen. Bemerkenswert ist in diesem Zusammenhang - worauf die Allianz zutreffend hinweist -, dass das Gehalt des Beschwerdegegners im Laufe des Anstellungsverhältnisses bei der C.________ AG nicht unerheblich angestiegen ist (vgl. Jahreslohnjournale 1999 und 2002), was nach allgemeiner Lebenserfahrung ein Indiz für eine gute oder zumindest genügende Leistung ist. Auch dem Arbeitszeugnis vom 12. August 2002 (welches gemäss Fussnote keine Codierungen enthalte und auf jegliche Übertreibungen verzichte) sind keine Hinweise zu entnehmen, wonach der Beschwerdegegner nicht die erwartete Leistung erbracht hätte. Im Gegenteil wird dem Beschwerdegegner eine rationelle, qualitätsbewusste und termingerechte Arbeitsweise attestiert und seine Leistung wird "in jeder Hinsicht" als gut bewertet. Ferner wird der Beschwerdegegner u.a. als "belastbar" bezeichnet. Indem das kantonale Gericht diese Umstände würdigte und zum Schluss gelangte, mangels Hinweise für eine vor September 2002 eingetretene Arbeitsunfähigkeit vermöge der Arbeitgeberfragebogen vom 14. April 2003 den von der IV-Stelle festgelegten Zeitpunkt des Eintritts der massgebenden Arbeitsunfähigkeit zumindest nicht als offensichtlich unhaltbar erscheinen zu lassen, hat es die Beweise nicht willkürlich gewürdigt. Willkür liegt nicht schon dann vor, wenn eine andere Lösung ebenfalls in Betracht zu ziehen oder gar vorzuziehen wäre, sondern nur, wenn der angefochtene Entscheid im Ergebnis offensichtlich unhaltbar ist ( BGE 140 III 16 E. 2.1 S. 18 f.). Davon kann hier nicht die Rede sein:</w:t>
      </w:r>
    </w:p>
    <w:p>
      <w:r>
        <w:t>Zunächst enthält der Arbeitgeberfragebogen vom 14. April 2003 - entgegen dem, was die Beschwerdeführerin zu glauben machen versucht - keine eindeutigen Aussagen über eine verminderte Leistungsfähigkeit des Beschwerdegegners. Nota bene hat die Arbeitgeberin die im hier interessierenden Kontext einschlägigen Ziff. 13-15 des Fragebogens ("Entspricht der unter Ziffer 12 angegebene Lohn der Arbeitsleistung?"; "Wenn nicht, welcher Lohn entspräche der Arbeitsleistung?"; "Falls der Lohn die Arbeitsleistung übersteigt, bitten wir Sie um eine separate, ausführliche Begründung über Art und Ausmass der Leistungseinbusse unter Angabe der Daten, seit wann die reduzierte Leistung besteht") nicht angekreuzt bzw. ausgefüllt. Einzig unter Ziff. 28 ("Bemerkungen") findet sich die (nicht näher erläuterte) Angabe, das Gehalt des Beschwerdegegners habe eine Sozialzulage der Unternehmung enthalten, welche 40 % des Bruttolohnes entsprochen habe. Sodann ist der Begriff "Sozialzulage" nicht ohne Weiteres gleichzusetzen mit dem Begriff "Soziallohn", meint letzterer Begriff Lohn, der sich nicht nach Leistung, sondern nach sozialen Kriterien bemisst, während sich ersterer Begriff auf eine aufgrund sozialer Kriterien (u.a. Familienstand, Kinder) ausgerichtete Zulage bezieht (Duden, Das grosse Wörterbuch der deutschen Sprache, Bd. 5, 1980, S. 2431 und 2432; vgl. auch Art. 33 der Personalverordnung des Kantons Obwalden vom 29. Januar 1998; GDB 141.11). Auch wenn die Angabe der Arbeitgeberin - aufgrund der Höhe der "Zulage" - gewisse Zweifel an der Arbeits- bzw. Leistungsfähigkeit weckt, ist sie im Lichte der übrigen echtzeitlichen Belege und Umstände (durchwegs positives Arbeitszeugnis, keine überdurchschnittlichen Absenzen, kontinuierlicher Gehaltsaufstieg, Austrittsmeldung an die Vorsorgeeinrichtung, wonach eine volle Arbeitsfähigkeit bestehe), welche allesamt dagegen sprechen, dass sich eine teilweise Arbeitsunfähigkeit bzw. Leistungsminderung sinnfällig auf das Arbeitsverhältnis bei der C.________ AG ausgewirkt hat, mit der Vorinstanz zumindest nicht geeignet, die Feststellungen der IV-Stelle als offensichtlich unhaltbar bzw. geradezu willkürlich erscheinen zu lassen.</w:t>
      </w:r>
    </w:p>
    <w:p>
      <w:r>
        <w:rPr>
          <w:b/>
        </w:rPr>
        <w:t>E. 6.2</w:t>
      </w:r>
    </w:p>
    <w:p>
      <w:r>
        <w:t>Den vom Rückversicherer der Beschwerdeführerin verfassten, von der C.________ AG am 10. November 2009 beantworteten Fragebogen, wonach "seit Eintritt" eine nicht volle Leistungsfähigkeit aus gesundheitlichen Gründen bestanden habe und der Lohn nicht verhältnismässig zur Arbeitsleistung gewesen sei, hat das kantonale Gericht unter Hinweis auf die Rechtsprechung (E. 4.2 hievor) nicht berücksichtigt, da er im Zeitpunkt des Verfügungserlasses (3. Mai 2005) nicht vorgelegen habe. Die Nichtzulassung als Beweis erachtet die Beschwerdeführerin als willkürlich, ohne sich jedoch hinreichend mit der Begründung der Vorinstanz zur zeitlich massgeblichen Aktenlage auseinanderzusetzen bzw. (substanziiert) aufzuzeigen, inwiefern dieses erst nach Verfügungserlass produzierte Beweismittel im Sinne der genannten Rechtsprechung dennoch hätte berücksichtigt werden müssen. Damit ist auf diesen Punkt nicht einzugehen (E. 2 Abs. 3 hievor).</w:t>
      </w:r>
    </w:p>
    <w:p>
      <w:r>
        <w:rPr>
          <w:b/>
        </w:rPr>
        <w:t>E. 6.3</w:t>
      </w:r>
    </w:p>
    <w:p>
      <w:r>
        <w:t>Nach dem Gesagten ist der auf einer einlässlichen und willkürfreien Würdigung der gesamten Umstände beruhende Schluss der Vorinstanz, die Feststellungen der IV-Stelle seien zumindest nicht offensichtlich unhaltbar, bundesrechtskonform. Folglich hat es beim angefochtenen Entscheid sein Bewenden.</w:t>
      </w:r>
    </w:p>
    <w:p>
      <w:r>
        <w:rPr>
          <w:b/>
        </w:rPr>
        <w:t>E. 7</w:t>
      </w:r>
    </w:p>
    <w:p>
      <w:r>
        <w:t>Die unterliegende Beschwerdeführerin trägt die Verfahrenskosten ( Art. 66 Abs. 1 Satz 1 BGG ). Sie hat dem Beschwerdegegner überdies eine Parteientschädigung zu bezahlen ( Art. 68 Abs. 1 und 2 BGG ). Der Allianz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