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70/2010 vom 9. August 2010</w:t>
      </w:r>
    </w:p>
    <w:p>
      <w:r>
        <w:t>Bundesgericht, 2010-08-09, FR</w:t>
      </w:r>
    </w:p>
    <w:p>
      <w:r>
        <w:rPr>
          <w:b/>
        </w:rPr>
        <w:t xml:space="preserve">Quelle: </w:t>
      </w:r>
      <w:r>
        <w:t>https://mcp.opencaselaw.ch/entscheid/bger_9C_70_2010</w:t>
      </w:r>
    </w:p>
    <w:p>
      <w:r>
        <w:t>FR: TF 9C 70/2010 du 9 août 2010</w:t>
      </w:r>
    </w:p>
    <w:p>
      <w:r>
        <w:t>IT: TF 9C 70/2010 del 9 agosto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Est litigieux le point de savoir si l'état de santé de l'assurée a subi une modification telle qu'elle influencerait le taux d'invalidité déterminé auparavant et justifierait l'attribution d'une rente.</w:t>
      </w:r>
    </w:p>
    <w:p>
      <w:r>
        <w:rPr>
          <w:b/>
        </w:rPr>
        <w:t>E. 3</w:t>
      </w:r>
    </w:p>
    <w:p>
      <w:r>
        <w:t>Quand l'administration entre en matière sur une nouvelle demande (cf. art. 87 al. 4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4</w:t>
      </w:r>
    </w:p>
    <w:p>
      <w:r>
        <w:t>La recourante reprend et développe fondamentalement la même argumentation qu'en première instance. Elle reproche à la juridiction cantonale d'avoir écarté l'avis pertinent des docteurs D.________ et V.________ au bénéfice de celui incomplet et irréaliste du docteur S.________. Elle soutient en outre que l'aggravation de sa situation médicale a eu pour résultat de conférer un caractère invalidant aux troubles somatoformes dont elle souffrait. Elle procède également à une évaluation chiffrée de son taux d'invalidité.</w:t>
      </w:r>
    </w:p>
    <w:p>
      <w:r>
        <w:rPr>
          <w:b/>
        </w:rPr>
        <w:t>E. 5</w:t>
      </w:r>
    </w:p>
    <w:p>
      <w:r>
        <w:t>L'argumentation de l'assurée ne met en évidence ni constatation manifestement inexacte des faits ni violation du droit fédéral.</w:t>
      </w:r>
    </w:p>
    <w:p>
      <w:r>
        <w:rPr>
          <w:b/>
        </w:rPr>
        <w:t>E. 5.1</w:t>
      </w:r>
    </w:p>
    <w:p>
      <w:r>
        <w:t>Comme cela ressort de leur audition, les docteurs D.________ et V.________ ne se distancient du docteur S.________ que sur le point particulier de l'appréciation de la capacité de travail. Ils contestaient seulement la capacité totale de travail retenue par le médecin mandaté par le SMR et évaluaient celle-ci à 0 %, voire à 50 %, compte tenu du lourd et long passé traumatique de la recourante, ainsi que de la dimension psychologique du cas. Si tous reconnaissent effectivement l'apparition de nouvelles limitations - et même d'un nouveau diagnostic (séquelles d'une capsulite rétractile) - liées à l'accident de 2006, on relèvera que cela ne constitue pas encore une aggravation ou une modification notable au sens de l' art. 17 LPGA dès lors que l'influence d'une affection sur la capacité de travail importe plus que l'affection en soi (cf. notamment ATF 132 V 65 consid. 3.4 p. 69 s.).</w:t>
      </w:r>
    </w:p>
    <w:p>
      <w:r>
        <w:rPr>
          <w:b/>
        </w:rPr>
        <w:t>E. 5.2</w:t>
      </w:r>
    </w:p>
    <w:p>
      <w:r>
        <w:t>On constatera encore que les premiers juges ont entériné l'avis du docteur S.________ en expliquant de manière circonstanciée pourquoi ils le retenait plutôt que celui des médecins traitants. Se borner à affirmer que cette manière de procéder est arbitraire au motif que les docteurs D.________ et V.________ ont une meilleure connaissance du dossier et une vision globale de la situation en raison d'un suivi thérapeutique qui a duré plusieurs années, revient à ignorer la retenue avec laquelle il y a lieu d'aborder les rapports d'un médecin traitant d'une part (cf. ATF 125 V 351 consid. 3b/cc p. 353) et le rôle de l'expert ou d'un médecin dont le mandat s'y apparente d'autre part (cf. ATF 125 V 351 consid. 3b/aa p. 352 s.; voir aussi arrêt 9C_482/2008 du 18 mai 2009 consid. 4.1), n'établit de surcroît pas que ces principes jurisprudentiels ont été mal appliqués, ni ne met en doute l'appréciation détaillée de la juridiction cantonale quant à la capacité résiduelle de travail de l'assurée et, enfin, ne démontre en tout cas pas pourquoi il serait incohérent de reconnaître la présence de limitations fonctionnelles additionnelles, sans que cela ait pour autant une influence sur l'exercice d'une activité adaptée.</w:t>
      </w:r>
    </w:p>
    <w:p>
      <w:r>
        <w:rPr>
          <w:b/>
        </w:rPr>
        <w:t>E. 5.3</w:t>
      </w:r>
    </w:p>
    <w:p>
      <w:r>
        <w:t>On notera également qu'il n'est de loin pas irréaliste d'escompter l'existence d'une activité permettant l'alternance des positions et prohibant le port de charges, l'utilisation répétitive et les mouvements au-dessus de l'horizontale du bras, les déplacements sur des longues distances, ainsi que les travaux en porte-à-faux, d'autant moins que le marché équilibré du travail auquel se réfèrent les autorités compétentes en matière d'assurance-invalidité est une notion théorique et abstraite impliquant un équilibre entre l'offre et la demande de main d'?uvre et un marché du travail structuré de sorte qu'il offre un éventail d'emplois diversifiés (cf. arrêt 9C_279/2008 du 16 décembre 2008 consid. 3.3 et les références). Il s'ensuit que pour évaluer l'invalidité, il n'y a pas lieu d'examiner si un invalide peut être placé eu égard aux conditions concrètes du marché du travail, mais il faut seulement se demander s'il pourrait encore exploiter sa capacité résiduelle lorsque les places disponibles correspondent à l'offre de main d'?uvre (cf. arrêt I 198/97 du 7 juillet 1998 consid. 3b in VSI 1998 p. 293 et les références).</w:t>
      </w:r>
    </w:p>
    <w:p>
      <w:r>
        <w:rPr>
          <w:b/>
        </w:rPr>
        <w:t>E. 5.4</w:t>
      </w:r>
    </w:p>
    <w:p>
      <w:r>
        <w:t>On ajoutera enfin que la seule affirmation selon laquelle le trouble somatoforme douloureux - dont l'influence sur la capacité travail était niée auparavant - revêt désormais un caractère invalidant compte tenu de l'aggravation de la situation médicale ne suffit pas à établir que les critères permettant d'en juger sont remplis.</w:t>
      </w:r>
    </w:p>
    <w:p>
      <w:r>
        <w:rPr>
          <w:b/>
        </w:rPr>
        <w:t>E. 6</w:t>
      </w:r>
    </w:p>
    <w:p>
      <w:r>
        <w:t>Manifestement infondé, le recours doit donc être rejeté selon la procédure simplifiée de l' art. 109 al. 2 let. a LTF sans qu'il faille ordonner un échange d'écritures. Les frais judiciaires sont mis à la charge de la recourante ( art. 66 al. 1 LTF ) qui ne peut en outre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