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9C_708/2010 vom 25. Februar 2011</w:t>
      </w:r>
    </w:p>
    <w:p>
      <w:r>
        <w:t>Bundesgericht, 2011-02-25, DE</w:t>
      </w:r>
    </w:p>
    <w:p>
      <w:r>
        <w:rPr>
          <w:b/>
        </w:rPr>
        <w:t xml:space="preserve">Quelle: </w:t>
      </w:r>
      <w:r>
        <w:t>https://mcp.opencaselaw.ch/entscheid/bger_9C_708_2010</w:t>
      </w:r>
    </w:p>
    <w:p>
      <w:r>
        <w:t>FR: TF 9C_708/2010 du 25 février 2011</w:t>
      </w:r>
    </w:p>
    <w:p>
      <w:r>
        <w:t>IT: TF 9C_708/2010 del 25 febbraio 2011</w:t>
      </w:r>
    </w:p>
    <w:p>
      <w:pPr>
        <w:pStyle w:val="Heading2"/>
      </w:pPr>
      <w:r>
        <w:t>Erwägungen</w:t>
      </w:r>
    </w:p>
    <w:p>
      <w:r>
        <w:rPr>
          <w:b/>
        </w:rPr>
        <w:t>E. 1</w:t>
      </w:r>
    </w:p>
    <w:p>
      <w:r>
        <w:t>Die Beschwerde in öffentlich-rechtlichen Angelegenheiten ( Art. 82 ff. BGG ) kann wegen Rechtsverletzung gemäss Art. 95 f. B 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und wenn die Behebung des Mangels für den Ausgang des Verfahrens entscheidend sein kann ( Art. 97 Abs. 2 BGG ).</w:t>
      </w:r>
    </w:p>
    <w:p>
      <w:r>
        <w:rPr>
          <w:b/>
        </w:rPr>
        <w:t>E. 2</w:t>
      </w:r>
    </w:p>
    <w:p>
      <w:r>
        <w:t>Streitig ist einzig die Befristung der Rente auf Ende März 2007.</w:t>
      </w:r>
    </w:p>
    <w:p>
      <w:r>
        <w:rPr>
          <w:b/>
        </w:rPr>
        <w:t>E. 3</w:t>
      </w:r>
    </w:p>
    <w:p>
      <w:r>
        <w:t>Im angefochtenen Entscheid wird zutreffend ausgeführt, dass die im Rahmen der 5. IV-Revision Anfang 2008 in Kraft getretenen Rechtsänderungen intertemporalrechtlich nicht anwendbar sind. Des Weitern hat die Vorinstanz richtig dargelegt, dass nach der Rechtsprechung bei der rückwirkenden Zusprechung einer abgestuften oder befristeten Rente die Revisionsbestimmungen ( Art. 17 Abs. 1 ATSG ; Art. 88a Abs. 1 IVV ) analog Anwendung finden, weil noch vor Erlass der ersten Rentenverfügung eine anspruchsbeeinflussende Änderung eingetreten ist mit der Folge, dass gleichzeitig die Änderung mitberücksichtigt wird (vgl. BGE 109 V 125 E. 4a S. 126 f.; ZAK 1984 S. 133; Urteil 9C_233/2009 vom 6. Mai 2009 E. 2.1). Darauf wird verwiesen.</w:t>
      </w:r>
    </w:p>
    <w:p>
      <w:r>
        <w:rPr>
          <w:b/>
        </w:rPr>
        <w:t>E. 4.1</w:t>
      </w:r>
    </w:p>
    <w:p>
      <w:r>
        <w:t>Vorinstanz und IV-Stelle gehen übereinstimmend davon aus, dass beim Versicherten ab Dezember 2006 eine massgebliche Verbesserung der gesundheitlichen Verhältnisse eingetreten ist. Seit diesem Zeitpunkt kann der Beschwerdeführer nach den verbindlichen Sachverhaltsfeststellungen des kantonalen Gerichts zwar weiterhin den rechten Arm und die rechte Hand, von geringen Ausnahmen abgesehen, nicht mehr einsetzen, ist aber in der Lage, dieser Einschränkung Rechnung tragende Tätigkeiten in vollem Pensum (100 %) auszuüben. Das Vorliegen eines die Arbeitsfähigkeit beeinträchtigenden psychischen Leidens wird im angefochtenen Entscheid gestützt auf das Gutachten des Dr. med. R.________, FMH Psychiatrie und Psychotherapie, und des Dr. med. O.________ vom 29. Oktober 2007, Bern, ausdrücklich verneint.</w:t>
      </w:r>
    </w:p>
    <w:p>
      <w:r>
        <w:rPr>
          <w:b/>
        </w:rPr>
        <w:t>E. 4.2</w:t>
      </w:r>
    </w:p>
    <w:p>
      <w:r>
        <w:t>Diese Beurteilung ist im Rahmen der gesetzlichen Überprüfungsbefugnis des Bundesgerichts (E. 1) nicht zu beanstanden. Zu Unrecht macht der Beschwerdeführer geltend, das vom Kreisarzt der SUVA am 29. August 2005 festgestellte Schulterschmerz-Syndrom habe sich nie massgeblich gebessert und entgegen dem angefochtenen Entscheid sei in der kreisärztlichen Untersuchung vom 21. Dezember 2006 auch nirgends von verbesserten gesundheitlichen Verhältnissen die Rede. Denn die von Vorinstanz und IV-Stelle angenommene Verbesserung des Gesundheitszustandes ergibt sich aus einem Vergleich der ärztlichen Einschätzungen aus dem Jahre 2005, in welchen von einer vollen Arbeitsunfähigkeit ausgegangen wird, mit der kreisärztlichen Beurteilung vom 21. Dezember 2006, gemäss welcher in einer angepassten Tätigkeit eine volle Arbeitsfähigkeit besteht. Sämtliche Einwendungen des Beschwerdeführers - welcher die fehlende Verbindlichkeit der Invaliditätsbemessung der SUVA für die Invalidenversicherung ( BGE 133 V 549 ), insbesondere wenn diese auf einem Vergleich beruht (vgl. dazu BGE 126 V 288 E. 2b S. 292), zu Recht nicht in Frage stellt - lassen die vorinstanzliche Feststellung der Wiedererlangung einer vollen Arbeitsfähigkeit in einer angepassten Tätigkeit weder als offensichtlich unrichtig noch als sonst wie rechtsfehlerhaft erscheinen.</w:t>
      </w:r>
    </w:p>
    <w:p>
      <w:r>
        <w:rPr>
          <w:b/>
        </w:rPr>
        <w:t>E. 4.3</w:t>
      </w:r>
    </w:p>
    <w:p>
      <w:r>
        <w:t>Damit hat es mit dem auf dieser Grundlage ermittelten und abgesehen von der zugrunde gelegten Arbeitsunfähigkeit nicht bestrittenen Invalideneinkommen (Fr. 44'398.- [gemäss IV-Stelle] oder Fr. 41'113.- [gemäss Vorinstanz]) sein Bewenden. Eine Gegenüberstellung mit dem ebenso unbestritten gebliebenen Valideneinkommen von Fr. 62'491.- führt zu einem rentenausschliessenden Invaliditätsgrad (28 oder 34 %). Damit ist die von der IV-Stelle verfügte und von der Vorinstanz bestätigte Befristung der Rente (deren Zeitpunkt als solcher unbestritten ist) rechtens.</w:t>
      </w:r>
    </w:p>
    <w:p>
      <w:r>
        <w:rPr>
          <w:b/>
        </w:rPr>
        <w:t>E. 5</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