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9C_707/2010 vom 29. April 2011</w:t>
      </w:r>
    </w:p>
    <w:p>
      <w:r>
        <w:t>Bundesgericht, 2011-04-29, FR</w:t>
      </w:r>
    </w:p>
    <w:p>
      <w:r>
        <w:rPr>
          <w:b/>
        </w:rPr>
        <w:t xml:space="preserve">Quelle: </w:t>
      </w:r>
      <w:r>
        <w:t>https://mcp.opencaselaw.ch/entscheid/bger_9C_707_2010</w:t>
      </w:r>
    </w:p>
    <w:p>
      <w:r>
        <w:t>FR: TF 9C_707/2010 du 29 avril 2011</w:t>
      </w:r>
    </w:p>
    <w:p>
      <w:r>
        <w:t>IT: TF 9C_707/2010 del 29 aprile 2011</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En l'espèce, les premiers juges ont constaté qu'il n'y avait pas eu reprise d'une entreprise avec actifs et passifs au sens de l' art. 181 CO , mais continuation des affaires de la société en raison individuelle au sens de l' art. 579 CO . Dans la mesure où P.________ avait été déclaré en faillite, la recourante pouvait être recherchée personnellement, conformément à l' art. 568 al. 3 CO . Le délai de prescription applicable était celui de cinq ans prévu à l' art. 591 al. 1 CO . La sortie de la recourante de la société en nom collectif ayant été publiée dans la Feuille officielle suisse du commerce en 2007, la créance de cotisations n'était pas prescrite lorsque la caisse a rendu sa décision le 4 novembre 2009.</w:t>
      </w:r>
    </w:p>
    <w:p>
      <w:r>
        <w:rPr>
          <w:b/>
        </w:rPr>
        <w:t>E. 2.2</w:t>
      </w:r>
    </w:p>
    <w:p>
      <w:r>
        <w:t>Pour sa part, la recourante estime que la prescription était acquise lorsque la caisse a rendu la décision litigieuse. Elle soutient en substance que P.________ n'a pas acquis l'entreprise dans le cadre d'une continuation des affaires au sens de l' art. 579 CO , mais dans le cadre d'un transfert de patrimoine au sens des art. 69 ss de la loi fédérale du 3 octobre 2003 sur la fusion, la scission, la transformation et le transfert de patrimoine (LFus; RS 221.301). Il convenait dès lors d'appliquer le délai de prescription de deux ans prévu à l' art. 592 al. 2 CO .</w:t>
      </w:r>
    </w:p>
    <w:p>
      <w:r>
        <w:rPr>
          <w:b/>
        </w:rPr>
        <w:t>E. 3</w:t>
      </w:r>
    </w:p>
    <w:p>
      <w:r>
        <w:t>Comme le relève à bon droit l'Office fédéral des assurances sociales dans ses déterminations, il ressort des informations contenues dans l'extrait du registre du commerce relatif à la raison individuelle « Auberge X.________, P.________ », lesquelles bénéficient d'une présomption d'exactitude selon l' art. 9 CC (PAUL-HENRI STEINAUER, Le titre préliminaire du Code civil, in Traité de droit privé suisse, vol. II/1, 2009, n° 747 ss), que la modification de la nature juridique de la société dont la recourante était titulaire aux côtés de P.________ a eu lieu en application de l' art. 579 CO relatif à la continuation des affaires dans le cadre d'une société en nom collectif. Faute pour la recourante de démontrer l'inexactitude des faits constatés dans cet extrait du registre du commerce, il n'y a pas lieu d'examiner plus avant le bien-fondé des griefs soulevés dans son recours en matière de droit public. En retenant que le délai de prescription était de cinq ans, les premiers juges n'ont pas violé le droit fédéral (cf. ATF 136 V 268 consid. 4 p. 275), de sorte que le jugement entrepris, aux considérants duquel il convient de renvoyer pour le surplus, doit être confirmé.</w:t>
      </w:r>
    </w:p>
    <w:p>
      <w:r>
        <w:rPr>
          <w:b/>
        </w:rPr>
        <w:t>E. 4</w:t>
      </w:r>
    </w:p>
    <w:p>
      <w:r>
        <w:t>Mal fondé, le recours doit être rejeté. La recourante,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