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9C_705/2015 vom 19. Mai 2016</w:t>
      </w:r>
    </w:p>
    <w:p>
      <w:r>
        <w:t>Bundesgericht, 2016-05-19, FR</w:t>
      </w:r>
    </w:p>
    <w:p>
      <w:r>
        <w:rPr>
          <w:b/>
        </w:rPr>
        <w:t xml:space="preserve">Quelle: </w:t>
      </w:r>
      <w:r>
        <w:t>https://mcp.opencaselaw.ch/entscheid/bger_9C_705_2015</w:t>
      </w:r>
    </w:p>
    <w:p>
      <w:r>
        <w:t>FR: TF 9C_705/2015 du 19 mai 2016</w:t>
      </w:r>
    </w:p>
    <w:p>
      <w:r>
        <w:t>IT: TF 9C_705/2015 del 19 maggio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l'occurrence litigieux le droit de l'intimée à une rente d'invalidité. Compte tenu des critiques émises par l'office recourant, il faut déterminer si le tribunal cantonal pouvait légitimement retenir qu'après le refus initial de prester était survenue une détérioration significative de l'état de santé de l'assurée justifiant la révision du droit aux prestations conformément à l' art. 17 LPGA applicable par analogie (cf. art. 87 al. 3 RAI ; voir également ATF 133 V 108 consid. 5 p. 110 et 130 V 71 consid. 3.2 p. 75). L'acte attaqué cite les dispositions légales et les principes jurisprudentiels indispensables à la résolution du litige. Il suffit d'y renvoyer.</w:t>
      </w:r>
    </w:p>
    <w:p>
      <w:r>
        <w:rPr>
          <w:b/>
        </w:rPr>
        <w:t>E. 3.1</w:t>
      </w:r>
    </w:p>
    <w:p>
      <w:r>
        <w:t>L'administration reproche à la juridiction cantonale d'avoir reconnu le droit de l'intimée à une rente entière d'invalidité dès le 1er avril 2010. Elle soutient en substance que les rapports médicaux recueillis lors de la seconde requête de prestations démontraient l'existence de troubles incapacitants à partir du début de l'âge adulte, en 1991. Elle considère implicitement que ces rapports sont pleinement probants et ôtent toute pertinence aux conclusions de l'expertise ayant fondé le refus initial de prester. Elle en déduit l'absence de modification notable de la situation justifiant la révision du droit à la rente.</w:t>
      </w:r>
    </w:p>
    <w:p>
      <w:r>
        <w:rPr>
          <w:b/>
        </w:rPr>
        <w:t>E. 3.2</w:t>
      </w:r>
    </w:p>
    <w:p>
      <w:r>
        <w:t>Cette argumentation n'est pas fondée.</w:t>
      </w:r>
    </w:p>
    <w:p>
      <w:r>
        <w:t>Les doctoresses D.________ et E.________ font certes remonter les effets incapacitants des troubles psychiques diagnostiqués (trouble envahissant du développement et de la personnalité émotionnellement labile de type borderline, anxiété généralisée) au début de l'âge adulte ou à une période largement antérieure à la décision initiale de refus de prester. La juridiction cantonale a néanmoins expliqué les raisons pour lesquelles elle écartait ladite conclusion et lui préférait celles du docteur C.________ qui attestait l'absence d'atteintes invalidantes à la santé et une pleine capacité de travail au moment de la réalisation de son expertise durant l'année 2003. Ainsi, selon elle, l'évaluation du docteur C.________ n'était pas ou ne pouvait pas être qualifiée de manifestement erronée, eu égard à l'appréciation des doctoresses D.________ et E.________, dans la mesure où elle se basait sur un examen clinique et des informations rassemblées auprès des divers intervenants de l'époque; le docteur C.________ avait déjà mentionné l'existence de problèmes qu'il qualifiait alors uniquement de potentiellement invalidants et dont il estimait qu'ils n'étaient pas assez marqués pour retenir un diagnostic particulier; la doctoresse E.________ avait elle-même déclaré au sujet du trouble de la personnalité et de l'anxiété que le premier était probablement compensé et que la seconde n'était pas encore actuelle lorsque le docteur C.________ avait été consulté. Les premiers juges ont en outre déduit de ces éléments une aggravation de la situation de l'assurée entre la première et la seconde demande de prestations.</w:t>
      </w:r>
    </w:p>
    <w:p>
      <w:r>
        <w:t>L'administration soutient que cette appréciation est arbitraire (sur cette notion, cf. notamment ATF 137 I 1 consid. 2.4 p. 5), mais ne démontre aucunement en quoi elle le serait effectivement. Elle prétend que le tribunal cantonal a ignoré les explications circonstanciées développées par les doctoresses D.________ et E.________, que le raisonnement de l'autorité judiciaire de première instance est en complète contradiction avec tous les renseignements obtenus et que la juridiction cantonale impose son appréciation de la capacité de travail. De telles affirmations, formulées de façon très générale, ne démontrent rien et sont donc largement insuffisantes du point de vue du devoir légal de motivation de l' art. 42 al. 2 LTF , de sorte qu'elles ne sauraient entrer en considération. Elles sont également de toute évidence fausses au regard des constatations de la juridiction cantonale, qui ont été rappelées ci-dessus. On ajoutera par ailleurs que, contrairement à ce que prétend l'administration, si on considère dans un cas particulier qu'une décision n'est pas manifestement erronée, comme en l'espèce, et ne peut par conséquent faire l'objet d'une reconsidération au sens de l' art. 53 al. 2 LPGA , alors l'appréciation médicale sur laquelle cette décision repose exclusivement ne peut être qualifiée d'erronée et doit être prise en compte telle qu'elle a été formulée.</w:t>
      </w:r>
    </w:p>
    <w:p>
      <w:r>
        <w:t>Dans ces circonstances, on ne peut pas reprocher au tribunal cantonal d'avoir admis l'existence d'un motif de révision. Le recours doit donc être rejeté.</w:t>
      </w:r>
    </w:p>
    <w:p>
      <w:r>
        <w:rPr>
          <w:b/>
        </w:rPr>
        <w:t>E. 4</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