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9C_704/2008 vom 6. Februar 2009</w:t>
      </w:r>
    </w:p>
    <w:p>
      <w:r>
        <w:t>Bundesgericht, 2009-02-06, FR</w:t>
      </w:r>
    </w:p>
    <w:p>
      <w:r>
        <w:rPr>
          <w:b/>
        </w:rPr>
        <w:t xml:space="preserve">Quelle: </w:t>
      </w:r>
      <w:r>
        <w:t>https://mcp.opencaselaw.ch/entscheid/bger_9C_704_2008</w:t>
      </w:r>
    </w:p>
    <w:p>
      <w:r>
        <w:t>FR: TF 9C_704/2008 du 6 février 2009</w:t>
      </w:r>
    </w:p>
    <w:p>
      <w:r>
        <w:t>IT: TF 9C_704/2008 del 6 febbraio 2009</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des faits importants pour le jugement en cause que si ceux-ci ont été constatés en violation du droit au sens de l' art. 95 LTF ou de manière manifestement inexacte ( art. 97 al. 1 LTF ).</w:t>
      </w:r>
    </w:p>
    <w:p>
      <w:r>
        <w:rPr>
          <w:b/>
        </w:rPr>
        <w:t>E. 1.2</w:t>
      </w:r>
    </w:p>
    <w:p>
      <w:r>
        <w:t>En ce qui concerne l'évaluation de l'invalidité, en particulier au moyen de la méthode de la comparaison des revenus,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Ainsi,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L'application des chiffres contenus dans les tableaux déterminants de l'ESS est une question de fait ( ATF 132 V 393 consid. 3.3 p. 399).</w:t>
      </w:r>
    </w:p>
    <w:p>
      <w:r>
        <w:rPr>
          <w:b/>
        </w:rPr>
        <w:t>E. 2</w:t>
      </w:r>
    </w:p>
    <w:p>
      <w:r>
        <w:t>Le jugement entrepris expose correctement les dispositions légales et la jurisprudence applicables en matière d'évaluation de l'invalidité, de sorte qu'il suffit d'y renvoyer.</w:t>
      </w:r>
    </w:p>
    <w:p>
      <w:r>
        <w:rPr>
          <w:b/>
        </w:rPr>
        <w:t>E. 3.1</w:t>
      </w:r>
    </w:p>
    <w:p>
      <w:r>
        <w:t>Le recourant s'en prend pour l'essentiel à la comparaison des revenus effectuée par les premiers juges en application de l' art. 16 LPGA , singulièrement au revenu d'invalide fixé (à 41'045 fr. 81) en fonction des données statistiques de l'Enquête suisse sur la structure des salaires (ESS). En substance, il soutient que le recours à ces données conduirait à un résultat "extravagant" et que la jurisprudence y relative devrait être abandonnée.</w:t>
      </w:r>
    </w:p>
    <w:p>
      <w:r>
        <w:rPr>
          <w:b/>
        </w:rPr>
        <w:t>E. 3.1.1</w:t>
      </w:r>
    </w:p>
    <w:p>
      <w:r>
        <w:t>Selon la jurisprudence constante ( ATF 126 V 75 consid. 3b/aa et bb p. 76 et les arrêts cités),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 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w:t>
      </w:r>
    </w:p>
    <w:p>
      <w:r>
        <w:rPr>
          <w:b/>
        </w:rPr>
        <w:t>E. 3.1.2</w:t>
      </w:r>
    </w:p>
    <w:p>
      <w:r>
        <w:t>Conformément à la jurisprudence rappelée ci-avant, les premiers juges ont à bon droit fixé le revenu d'invalide du recourant en se référant aux données ESS. C'est en vain que B.________ demande l'abandon de cette jurisprudence, puisqu'il ne fait valoir aucun motif pertinent qui justifierait un changement de celle-ci (sur les conditions d'un changement de jurisprudence, voir ATF 133 V 37 consid. 5.3.3. p. 39; 132 V 357 consid. 3.2.4.1 p. 360 et les références). En particulier, le fait que dans l'une ou l'autre situation, comme dans le cas d'espèce, le salaire d'invalide déterminé au moyen des données ESS est plus élevé que le revenu obtenu par l'assuré avant l'invalidité - d'un montant de 38'400 fr. non contesté par le recourant - ne suffit pas à démontrer le caractère absurde de la méthode de référence aux salaires statistiques.</w:t>
      </w:r>
    </w:p>
    <w:p>
      <w:r>
        <w:t>On précisera que si le recours aux salaires de l'ESS ne permet pas une appréciation très fine en fonction des groupes de professions particuliers ou des régions de travail, la jurisprudence permet cependant de réduire le revenu hypothétique d'invalide, tel qu'il résulte des statistiques, afin de tenir compte du fait que les possibilités pour l'assuré de réaliser un gain qui se situe dans la moyenne sont forcément diminuées (sur la mesure et les conditions de cette réduction, voir ATF 126 V 75 consid. 5b/aa-cc p. 79). Un tel abattement (de 10 % en l'espèce) a d'ailleurs été appliqué par la juridiction cantonale.</w:t>
      </w:r>
    </w:p>
    <w:p>
      <w:r>
        <w:rPr>
          <w:b/>
        </w:rPr>
        <w:t>E. 3.2</w:t>
      </w:r>
    </w:p>
    <w:p>
      <w:r>
        <w:t>En tant que le recourant se borne ensuite à affirmer qu'il ne serait pas apte à exercer une activité qualifiée de simple et répétitive, parce qu'elle nécessiterait de la résistance physique, son grief est mal fondé.</w:t>
      </w:r>
    </w:p>
    <w:p>
      <w:r>
        <w:t>Le montant retenu par les premiers juges, qui représente le salaire mensuel brut (valeur centrale) pour des postes de travail qui ne requièrent pas de qualifications professionnelles particulières, est en effet représentatif de ce que pourrait obtenir le recourant, compte tenu d'un marché équilibré du travail ( art. 16 LPGA ). Avec la juridiction cantonale, on peut admettre que les secteurs de la production et des services recouvrent une large palette d'activités, dont un nombre significatif est suffisamment léger et adapté au handicap du recourant. On peut reprendre, à titre d'exemple, l'activité de surveillant de parking ou de grand magasin citée par le docteur S.________ dans son rapport du 22 juillet 2003.</w:t>
      </w:r>
    </w:p>
    <w:p>
      <w:r>
        <w:t>A cet égard, la situation invoquée par le recourant en se référant à une étude de l'Observatoire Romand et Tessinois de l'emploi n'est pas pertinente, dès lors qu'elle se rapporte au cadre restreint du commerce de détail à Genève. Contrairement à ce que voudrait le recourant, on ne saurait ensuite reprocher à la juridiction cantonale une violation du droit d'être entendu, en ce qu'elle aurait écarté cette preuve sans justification. Le droit d'être entendu - sous l'aspect du droit d'obtenir une décision motivée - n'implique en effet pas l'obligation pour l'autorité d'exposer et de discuter tous les faits, moyens de preuve et griefs invoqués par les parties. L'autorité peut au contraire se limiter à ceux qui n'apparaissent pas d'emblée dépourvus de pertinence (cf. ATF 130 II 530 consid. 4.3 p. 540; 126 I 97 consid. 2b p. 102 s.).</w:t>
      </w:r>
    </w:p>
    <w:p>
      <w:r>
        <w:rPr>
          <w:b/>
        </w:rPr>
        <w:t>E. 3.3</w:t>
      </w:r>
    </w:p>
    <w:p>
      <w:r>
        <w:t>Il résulte de ce qui précède que les critiques du recourant ne sont pas de nature à remettre en cause la constatation des premiers juges quant au taux d'invalidité de 0 %.</w:t>
      </w:r>
    </w:p>
    <w:p>
      <w:r>
        <w:rPr>
          <w:b/>
        </w:rPr>
        <w:t>E. 4</w:t>
      </w:r>
    </w:p>
    <w:p>
      <w:r>
        <w:t>Mal fondé, le recours doit être rejeté. 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