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9C_703/2024 vom 17. Dezember 2024</w:t>
      </w:r>
    </w:p>
    <w:p>
      <w:r>
        <w:t>Bundesgericht, 2024-12-17, DE</w:t>
      </w:r>
    </w:p>
    <w:p>
      <w:r>
        <w:rPr>
          <w:b/>
        </w:rPr>
        <w:t xml:space="preserve">Quelle: </w:t>
      </w:r>
      <w:r>
        <w:t>https://mcp.opencaselaw.ch/entscheid/bger_9C_703_2024</w:t>
      </w:r>
    </w:p>
    <w:p>
      <w:r>
        <w:t>FR: TF 9C_703/2024 du 17 décembre 2024</w:t>
      </w:r>
    </w:p>
    <w:p>
      <w:r>
        <w:t>IT: TF 9C_703/2024 del 17 dicembre 2024</w:t>
      </w:r>
    </w:p>
    <w:p>
      <w:pPr>
        <w:pStyle w:val="Heading2"/>
      </w:pPr>
      <w:r>
        <w:t>Erwägungen</w:t>
      </w:r>
    </w:p>
    <w:p>
      <w:r>
        <w:rPr>
          <w:b/>
        </w:rPr>
        <w:t>E. 1.1</w:t>
      </w:r>
    </w:p>
    <w:p>
      <w:r>
        <w:t>A.________ hat Wohnsitz in U.________. Er ist selbständigerwerbender Transportunternehmer. In Bezug auf die Veranlagung betreffend die Staats- und Gemeindesteuern sowie direkte Bundessteuer der Steuerperiode 2021 erhob A.________ Einsprache. Die Steuerverwaltung des Kantons Luzern forderte A.________ mit Schreiben vom 29. Februar 2024 und nochmals mit Mahnung vom 4. April 2024 auf, Unterlagen nachzureichen. Da A.________ auf diese Aufforderung nicht reagierte, trat die Steuerverwaltung des Kantons Luzern mit Einspracheentscheid vom 30. April 2024 auf die Sache nicht ein. Parallel hierzu - mit Schreiben vom 3. Mai 2024 - reagierte A.________, was sich mit dem noch nicht eröffneten Einspracheentscheid überschnitt. Das Kantonsgericht Luzern nahm dieses Schreiben als Beschwerde gegen den Einspracheentscheid entgegen und setzte 14. Oktober 2024 eine Frist zur Verbesserung der Beschwerde. Die Frist endete am 28. Oktober 2024 und eine Reaktion durch A.________ blieb aus. Das von A.________ telefonisch am 29. Oktober 2024 erfolgte Fristerstreckungsgesuch wies das Kantonsgericht Luzern ab und trat auf die Sache nicht ein.</w:t>
      </w:r>
    </w:p>
    <w:p>
      <w:r>
        <w:rPr>
          <w:b/>
        </w:rPr>
        <w:t>E. 1.2</w:t>
      </w:r>
    </w:p>
    <w:p>
      <w:r>
        <w:t>Gegen die Nichteintretensverfügung vom 13. November 2024 erhebt A.________ (nachfolgend: Beschwerdeführer) mit datierter Eingabe vom 10. Dezember 2024 Beschwerde in öffentlich-rechtlichen Angelegenheiten an das Bundesgericht.</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2.3</w:t>
      </w:r>
    </w:p>
    <w:p>
      <w:r>
        <w:t>Den genannten Anforderungen an eine substantiierte Rüge genügen die Ausführungen des Beschwerdeführers offensichtlich nicht. Der Beschwerdeführer bittet bloss um erneute Prüfung seines Anliegens. Er bringt vor, dass die Veranlagung "viel zu hoch" sei. Aufgrund seiner Fahrertätigkeit in der Transportbranche, sei es ihm nicht möglich gewesen die Post fristgerecht abzuholen, weshalb er die Fristen verlängere. Mit seinen Ausführungen setzt er sich jedoch nicht in rechtsgenüglicher Form mit der Nichteintretensverfügung des Kantonsgerichts Luzern auseinander. Auch vermag er mit diesen Ausführungen nicht darzutun, wieso ihm zu Unrecht eine Frist nicht wiederhergestellt worden sei.</w:t>
      </w:r>
    </w:p>
    <w:p>
      <w:r>
        <w:rPr>
          <w:b/>
        </w:rPr>
        <w:t>E. 3</w:t>
      </w:r>
    </w:p>
    <w:p>
      <w:r>
        <w:t>Auf die Beschwerde ist mangels offensichtlich hinreichender Begründung in der Sache im vereinfachten Verfahren durch Entscheid des Abteilungspräsidenten nach Art. 108 Abs. 1 lit. b BGG nicht einzutreten. Die Gerichtskosten sind dem Beschwerdeführer aufzuerlegen ( Art. 66 Abs. 1 BGG ). Dem Kanton Luzern,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