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9C_702/2017 vom 15. Februar 2018</w:t>
      </w:r>
    </w:p>
    <w:p>
      <w:r>
        <w:t>Bundesgericht, 2018-02-15, DE</w:t>
      </w:r>
    </w:p>
    <w:p>
      <w:r>
        <w:rPr>
          <w:b/>
        </w:rPr>
        <w:t xml:space="preserve">Quelle: </w:t>
      </w:r>
      <w:r>
        <w:t>https://mcp.opencaselaw.ch/entscheid/bger_9C_702_2017</w:t>
      </w:r>
    </w:p>
    <w:p>
      <w:r>
        <w:t>FR: TF 9C_702/2017 du 15 février 2018</w:t>
      </w:r>
    </w:p>
    <w:p>
      <w:r>
        <w:t>IT: TF 9C_702/2017 del 15 febbraio 2018</w:t>
      </w:r>
    </w:p>
    <w:p>
      <w:pPr>
        <w:pStyle w:val="Heading2"/>
      </w:pPr>
      <w:r>
        <w:t>Erwägungen</w:t>
      </w:r>
    </w:p>
    <w:p>
      <w:r>
        <w:rPr>
          <w:b/>
        </w:rPr>
        <w:t>E. 1</w:t>
      </w:r>
    </w:p>
    <w:p>
      <w:r>
        <w:t>Mit der Beschwerde in öffentlich-rechtlichen Angelegenheiten kann u.a. die Verletzung von Bundesrecht gerügt werden ( Art. 95 lit. a BGG ). Das Bundesgericht wendet das Recht von Amtes wegen an ( Art. 106 Abs. 1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Die Beschwerdeführerin legt dar, dass sie "nicht primär" eine Rente ( Art. 28 IVG ), sondern eine Umschulung ( Art. 17 IVG ), allenfalls mit vorangehendem Arbeits- und Belastungstraining ( Art. 14a IVG ), beantragt.</w:t>
      </w:r>
    </w:p>
    <w:p>
      <w:r>
        <w:rPr>
          <w:b/>
        </w:rPr>
        <w:t>E. 2.2</w:t>
      </w:r>
    </w:p>
    <w:p>
      <w:r>
        <w:t>Anspruch auf eine Rente haben Versicherte, die u.a. während eines Jahres ohne wesentlichen Unterbruch durchschnittlich mindestens 40 % arbeitsunfähig ( Art. 6 ATSG ) gewesen sind; und nach Ablauf dieses Jahres zu mindestens 40 % invalid ( Art. 8 ATSG ) sind ( Art. 28 Abs. 1 lit. b und c IVG ). Versicherte, die seit mindestens sechs Monaten zu mindestens 50 Prozent arbeitsunfähig ( Art. 6 ATSG ) sind, haben Anspruch auf Integrationsmassnahmen zur Vorbereitung auf die berufliche Eingliederung (Integrationsmassnahmen), sofern dadurch die Voraussetzungen für die Durchführung von Massnahmen beruflicher Art geschaffen werden können ( Art. 14a Abs. 1 IVG ). Der Versicherte hat Anspruch auf Umschulung auf eine neue Erwerbstätigkeit, wenn die Umschulung infolge Invalidität notwendig ist und dadurch die Erwerbsfähigkeit voraussichtlich erhalten oder verbessert werden kann ( Art. 17 Abs. 1 IVG ). Der Umschulungsanspruch setzt grundsätzlich eine Mindesterwerbseinbusse von rund 20 % in den für die versicherte Person ohne zusätzliche Ausbildung offenstehenden, noch zumutbaren Erwerbstätigkeiten voraus ( BGE 130 V 488 E. 4.2 S. 489 f.; 124 V 108 E. 3 S. 111; Urteil 8C_808/2017 vom 11. Januar 2018 E. 3).</w:t>
      </w:r>
    </w:p>
    <w:p>
      <w:r>
        <w:rPr>
          <w:b/>
        </w:rPr>
        <w:t>E. 3.1.1</w:t>
      </w:r>
    </w:p>
    <w:p>
      <w:r>
        <w:t>Die Vorinstanz hat festgestellt, dass die Versicherte seit Frühjahr 2015 an einer depressiven Störung, leichte bis mittelgradige Episode, leide, wobei ihr eine Arbeitsunfähigkeit ab Januar 2015 attestiert worden sei. Laut den aktenkundigen ärztlichen Einschätzungen habe sich die depressive Symptomatik gegen Ende 2015 zwar noch nicht restlos, jedoch weitgehend zurückgebildet. In den medizinischen Unterlagen werde nicht näher ausgeführt, weshalb sich die Arbeitsfähigkeit trotz verbessertem Gesundheitszustand, anhaltender Therapie und an sich günstiger Prognose nicht erhöht haben soll. Es könne nicht von gescheiterten Therapien und Therapieresistenz ausgegangen werden. Zudem sei die Beschwerdeführerin bis anhin nicht mit einer antidepressiven Pharmakotherapie behandelt worden; sie nehme lediglich etwas zur Schlafinduktion, was entsprechende Rückschlüsse auf den Leidensdruck zulasse. In somatischer Hinsicht sei kein (invalidisierender) Gesundheitsschaden ausgewiesen.</w:t>
      </w:r>
    </w:p>
    <w:p>
      <w:r>
        <w:rPr>
          <w:b/>
        </w:rPr>
        <w:t>E. 3.1.2</w:t>
      </w:r>
    </w:p>
    <w:p>
      <w:r>
        <w:t>Weiter hat das kantonale Gericht erwogen, die (weitgehend remittierte) depressive Störung falle mangels Therapieresistenz nicht als invalidisierende Krankheit in Betracht ( BGE 140 V 193 E. 3.3 S. 197). Die von der behandelnden Psychiaterin (Frau med. pract. B.________) zusätzlich gestellten Diagnosen einer Anpassungsstörung mit Depression und Angst und eines Erschöpfungssyndroms könnten als Z-Kodierungen nach ICD-10 ebenfalls nicht als rechtserheblichen Gesundheitsschaden betrachtet werden (Urteile 9C_848/2016 vom 12. Mai 2017 E. 4.1; 9C_537/2011 vom 28. Juni 2012 E. 3.1, je mit Hinweisen). Bei demnach fehlender Invalidität hat es eine Anspruch auf Leistungen der Invalidenversicherung verneint.</w:t>
      </w:r>
    </w:p>
    <w:p>
      <w:r>
        <w:rPr>
          <w:b/>
        </w:rPr>
        <w:t>E. 3.2</w:t>
      </w:r>
    </w:p>
    <w:p>
      <w:r>
        <w:t>Es ist nicht ersichtlich und wird auch nicht substanziiert (vgl. Art. 106 Abs. 2 BGG ) geltend gemacht, dass die vorinstanzlichen Feststellungen betreffend den Gesundheitszustand (E. 3.1.1) offensichtlich unrichtig (d.h. unhaltbar, willkürlich: BGE 135 II 145 E. 8.1 S. 153; Urteil 9C_607/2012 vom 17. April 2013 E. 5.2) sein sollen.</w:t>
      </w:r>
    </w:p>
    <w:p>
      <w:r>
        <w:t>Die Vorinstanz hat auf die aktenkundigen Berichte der Vertrauensärztin der zuständigen Pensionskasse (Frau Dr. med. C.________), der behandelnden Ärzte (Dr. med. D.________, med. pract. E.________, Frau med. pract. B.________) und der Psychotherpeutin (Frau F.________) abgestellt. Es leuchtet nicht ein und wird auch nicht dargelegt, inwiefern zusätzlich ein psychiatrisches Gutachten erforderlich (vgl. zur antizipierenden Beweiswürdigung BGE 137 V 64 E. 5.2 S. 69 ; 136 I 229 E. 5.3 S. 236; vgl. auch Urteil 8C_841/2016 vom 30. November 2017 E. 4.5.3, zur Publikation vorgesehen) oder das Schreiben des Case-Managers vom 7. April 2016 für die Feststellungen (E. 3.1.1) entscheidend gewesen sein soll. Diese beruhen demnach nicht auf einer Verletzung des Untersuchungsgrundsatzes ( Art. 61 lit. c ATSG ), weshalb sie für das Bundesgericht verbindlich bleiben (E. 1).</w:t>
      </w:r>
    </w:p>
    <w:p>
      <w:r>
        <w:rPr>
          <w:b/>
        </w:rPr>
        <w:t>E. 3.3</w:t>
      </w:r>
    </w:p>
    <w:p>
      <w:r>
        <w:t>Auch wenn mit der Beschwerdeführerin angenommen wird, dass ihr die bisherige Tätigkeit als Hortleiterin nicht mehr zumutbar sei, und dass die rechtliche Relevanz einer depressiven Störung nicht eine Therapieresistenz voraussetzt (vgl. Urteil 8C_841/2016 vom 30. November 2017 E. 4.5, zur Publikation vorgesehen), ergibt sich nichts zu ihren Gunsten:</w:t>
      </w:r>
    </w:p>
    <w:p>
      <w:r>
        <w:t>Der Renten- und der Umschulungsanspruch bedingen nicht nur eine Arbeitsunfähigkeit für die bisherige Tätigkeit, sondern zusätzlich eine Invalidität resp. Erwerbsunfähigkeit von 40 resp. 20 % (E. 2.2). Bereits aus den vorinstanzlichen Feststellungen - insbesondere weitgehende Remittierung der depressiven Störung innerhalb eines Zeitraums von weniger als einem Jahr - lässt sich (zumindest) für leidensangepasste Tätigkeiten eine Einschränkung der Arbeitsfähigkeit ausschliessen. Aus dem Bericht der Frau med. pract. B.________ vom 12. April 2016 geht hervor, dass sie am 1. Dezember 2015 einen stufenweisen Wiedereinstieg in den erlernten Beruf als Sozialarbeiterin befürwortete. Auch wenn nicht mehr jede Tätigkeit in Frage kommt, hielt sie eine angepasste Tätigkeit im bisherigen Berufsfeld ausdrücklich für zumutbar. Dass eine Einschränkung (vgl. Art. 16 ATSG ) von mindestens rund 20 % bestehen soll, wird mit keinem Wort geltend gemacht (vgl. Art. 42 Abs. 1 und 2 BGG ) und ist unter den gegebenen Umständen auch nicht ersichtlich. Dies schliesst den Anspruch auf eine Rente oder Umschulung aus. Dass die Voraussetzungen für eine andere berufliche Massnahme resp. eine Integrationsmassnahme nach Art. 14a Abs. 1 IVG (E. 2.2) gegeben sein sollen, wird ebenfalls nicht dargelegt.</w:t>
      </w:r>
    </w:p>
    <w:p>
      <w:r>
        <w:t>Im Übrigen beschränkt sich die Beschwerdeführerin ohnehin auf weiten Strecken auf die blosse Wiederholung ihrer vorinstanzlichen Eingabe vom 22. Juni 2016; darauf ist nicht weiter einzugehen (vgl. Urteil 9C_585/2016 vom 29. November 2016 E. 3.3 mit Hinweisen). Von einer Verletzung von Art. 28 IVG oder einer anderen Rechtsregel kann somit nicht gesprochen werden. Die Beschwerde ist unbegründet.</w:t>
      </w:r>
    </w:p>
    <w:p>
      <w:r>
        <w:rPr>
          <w:b/>
        </w:rPr>
        <w:t>E. 4</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