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9C_701/2016 vom 1. März 2017</w:t>
      </w:r>
    </w:p>
    <w:p>
      <w:r>
        <w:t>Bundesgericht, 2017-03-01, DE</w:t>
      </w:r>
    </w:p>
    <w:p>
      <w:r>
        <w:rPr>
          <w:b/>
        </w:rPr>
        <w:t xml:space="preserve">Quelle: </w:t>
      </w:r>
      <w:r>
        <w:t>https://mcp.opencaselaw.ch/entscheid/bger_9C_701_2016</w:t>
      </w:r>
    </w:p>
    <w:p>
      <w:r>
        <w:t>FR: TF 9C_701/2016 du 1 mars 2017</w:t>
      </w:r>
    </w:p>
    <w:p>
      <w:r>
        <w:t>IT: TF 9C_701/2016 del 1 marzo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festgestellt, dass die Versicherte ohne gesundheitliche Beeinträchtigung weiterhin zu 100 % im Aufgabenbereich Haushalt tätig wäre. Für die Invaliditätsbemessung, die sie nach Art. 28a Abs. 2 IVG vorgenommen hat, hat sie dem Bericht vom 9. Oktober 2014 über die Abklärung der beeinträchtigten Arbeitsfähigkeit in Beruf und Haushalt (nachfolgend: Abklärungsbericht) Beweiskraft beigemessen und gestützt darauf eine Einschränkung von 20,15 % festgestellt. Folglich hat sie einen Rentenanspruch verneint.</w:t>
      </w:r>
    </w:p>
    <w:p>
      <w:r>
        <w:rPr>
          <w:b/>
        </w:rPr>
        <w:t>E. 3.1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Die blosse Möglichkeit eines bestimmten Sachverhalts genügt den Beweisanforderungen nicht ( BGE 138 V 218 E. 6 S. 221 f.; 130 V 393 E. 3.3 S. 396; 125 V 146 E. 2c S. 150 mit Hinweisen; Urteil 9C_406/2011 vom 9. Juli 2012 E. 5.1).</w:t>
      </w:r>
    </w:p>
    <w:p>
      <w:r>
        <w:rPr>
          <w:b/>
        </w:rPr>
        <w:t>E. 3.2</w:t>
      </w:r>
    </w:p>
    <w:p>
      <w:r>
        <w:t>Die auf eine Würdigung konkreter Umstände gestützte Festsetzung des hypothetischen Umfanges der Erwerbstätigkeit ist eine Tatfrage, welche das Bundesgericht nur in den genannten Schranken (E. 1) überprüft. Eine Rechtsfrage läge nur vor, wenn die Festlegung des Umfangs der Erwerbstätigkeit im Gesundheitsfall ausschliesslich gestützt auf die allgemeine Lebenserfahrung erfolgt wäre (Urteile I 708/06 vom 23. November 2006 E. 3.2; 9C_686/2008 vom 4. November 2008 E. 4.1; 9C_709/2009 vom 14. Dezember 2009 E. 3.2), was hier nicht zutrifft.</w:t>
      </w:r>
    </w:p>
    <w:p>
      <w:r>
        <w:rPr>
          <w:b/>
        </w:rPr>
        <w:t>E. 3.3</w:t>
      </w:r>
    </w:p>
    <w:p>
      <w:r>
        <w:t>Das kantonale Gericht hat festgestellt, dass die Versicherte über keine Berufsausbildung verfüge und nie erwerbstätig gewesen sei. Sie habe nicht geltend gemacht, dass sie (nur) mangels einer Arbeitsbewilligung keine Erwerbstätigkeit aufgenommen habe. Angesichts des knappen Einkommens des Ehemannes (monatlich Fr. 5'300.- netto) und der Möglichkeit einer schulischen Tagesbetreuung für das jüngste - nach Angabe der Beschwerdeführerin im August 2009 eingeschulte - Kind sei nicht nachvollziehbar, weshalb sie sich erst 2010 um eine Anstellung hätte kümmern wollen. Anhaltspunkte für eine konkrete Stellensuche seien nicht aktenkundig.</w:t>
      </w:r>
    </w:p>
    <w:p>
      <w:r>
        <w:t>Dass diese Feststellungen offensichtlich unrichtig (unhaltbar, willkürlich: BGE 135 II 145 E. 8.1 S. 153; Urteil 9C_607/2012 vom 17. April 2013 E. 5.2) sein sollen, ist nicht ersichtlich und wird auch nicht (substanziiert) geltend gemacht. Gleiches gilt für den vorinstanzlichen Schluss, dass unter den gegebenen Umständen eine Erwerbstätigkeit im Gesundheitsfall nicht überwiegend wahrscheinlich sei. Daran ändert nichts, dass die Versicherte die Aufnahme einer Erwerbstätigkeit beabsichtigt resp., wie die Vorinstanz festgestellt hat, sich hierüber Gedanken gemacht hatte. Die vorinstanzlichen Feststellungen beruhen auch nicht auf einer Rechtsverletzung. Insbesondere ist das kantonale Gericht hinsichtlich des Status (als Teil- oder Nichterwerbstätige) nicht an die Auffassung der Abklärungsperson gebunden, auch wenn der von ihr verfasste Abklärungsbericht in Bezug auf die Einschränkungen im Haushalt beweiskräftig ist (vgl. E. 4.2 und 4.3). Die Feststellungen bleiben daher für das Bundesgericht verbindlich (E. 1).</w:t>
      </w:r>
    </w:p>
    <w:p>
      <w:r>
        <w:rPr>
          <w:b/>
        </w:rPr>
        <w:t>E. 3.4</w:t>
      </w:r>
    </w:p>
    <w:p>
      <w:r>
        <w:t>Bei diesem (Zwischen-) Ergebnis hat die Vorinstanz die Invalidität zu Recht nach der spezifischen Methode gemäss Art. 28a Abs. 2 IVG bemessen.</w:t>
      </w:r>
    </w:p>
    <w:p>
      <w:r>
        <w:rPr>
          <w:b/>
        </w:rPr>
        <w:t>E. 4.1</w:t>
      </w:r>
    </w:p>
    <w:p>
      <w:r>
        <w:t>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 zu erheben ist (Urteil 9C_121/2011 vom 31. März 2011 E. 3.1.1 mit Hinweisen). Die Abklärung erstreckt sich im Haushalt auch auf den zumutbaren Umfang der Mithilfe von Familienangehörigen, welche im Rahmen der Schadenminderungspflicht zu berücksichtigen ist und weiter geht als die ohne Gesundheitsschädigung üblicherweise zu erwartende Unterstützung ( BGE 133 V 504 E. 4.2 S. 509 f. mit Hinweisen; Urteil 9C_150/2012 vom 30. August 2012 E. 5.3.1; 9C_39/2010 vom 25. März 2010 E. 4.3.2).</w:t>
      </w:r>
    </w:p>
    <w:p>
      <w:r>
        <w:rPr>
          <w:b/>
        </w:rPr>
        <w:t>E. 4.2</w:t>
      </w:r>
    </w:p>
    <w:p>
      <w:r>
        <w:t>Für den Beweiswert eines diesbezüglichen Berichtes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(Urteile 8C_334/2014 vom 21. Juli 2014 E. 5.2; 9C_150/2012 vom 30. August 2012 E. 5.3.2; Urteil des Eidg. Versicherungsgerichts I 90/02 vom 30. Dezember 2002 E. 3.2.3, nicht publiziert in BGE 129 V 67 , aber in AHI 2003 S. 215).</w:t>
      </w:r>
    </w:p>
    <w:p>
      <w:r>
        <w:rPr>
          <w:b/>
        </w:rPr>
        <w:t>E. 4.3</w:t>
      </w:r>
    </w:p>
    <w:p>
      <w:r>
        <w:t>Dass die Vorinstanz von der "Schadenminderungspflicht der Familienangehörigen" gesprochen hat, schadet nicht, hat sie doch mit Verweis auf BGE 133 V 504 E. 4.2 S. 509 f. zutreffend präzisiert, dass die Versicherte (im Rahmen der sie selber treffenden Schadenminderungspflicht) die Hilfe ihrer Familienangehörigen in Anspruch nehmen muss (vgl. auch BGE 141 V 642 E. 4.3.2 S. 648 mit Hinweisen). Anhaltspunkte dafür, dass die Abklärungsperson diese Mithilfe in unzumutbarem Ausmass berücksichtigt haben soll, sind nicht ersichtlich. Weiter beruht der Abklärungsbericht zwar auf einer bereits am 11. April 2013 erfolgten Erhebung vor Ort. Dabei berücksichtigte die Abklärungsperson aber die massgeblichen Diagnosen und Beschwerden; insbesondere hatte sie Kenntnis der Einschätzungen des Dr. med. B.________ (Berichte vom 25. Juni und 24. Dezember 2012). Dass sich seither der Gesundheitszustand verschlechtert haben soll, macht die Beschwerdeführerin nicht geltend und geht auch weder aus dem Gutachten der Frau Dr. med. C.________ vom 1. April 2014 noch aus dem Bericht des Dr. med. B.________ vom 8. Januar 2015 hervor. Schliesslich spielen Wechselwirkungen zwischen den Einschränkungen im Haushalt und im Erwerb (vgl. dazu BGE 134 V 9 E. 7.3 S. 12 ff.) in concreto von vornherein keine Rolle (E. 3.3 und 3.4), weshalb auf die entsprechenden Vorbringen nicht einzugehen ist. Insgesamt erfüllt der Abklärungsbericht in Bezug auf die Einschränkungen im Haushalt die Anforderungen an die Beweiskraft (E. 4.2). Die Beschwerde ist auch in diesem Punkt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