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9C_701/2009 vom 1. März 2010</w:t>
      </w:r>
    </w:p>
    <w:p>
      <w:r>
        <w:t>Bundesgericht, 2010-03-01, FR</w:t>
      </w:r>
    </w:p>
    <w:p>
      <w:r>
        <w:rPr>
          <w:b/>
        </w:rPr>
        <w:t xml:space="preserve">Quelle: </w:t>
      </w:r>
      <w:r>
        <w:t>https://mcp.opencaselaw.ch/entscheid/bger_9C_701_2009</w:t>
      </w:r>
    </w:p>
    <w:p>
      <w:r>
        <w:t>FR: TF 9C_701/2009 du 1 mars 2010</w:t>
      </w:r>
    </w:p>
    <w:p>
      <w:r>
        <w:t>IT: TF 9C_701/2009 del 1 marzo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Sur le plan formel, le recourant fait grief au Tribunal administratif fédéral de n'avoir pas annulé la décision litigieuse, alors même qu'il avait constaté que l'office AI avait violé au cours de la procédure administrative son droit d'être entendu garanti par l' art. 29 al. 2 Cst.</w:t>
      </w:r>
    </w:p>
    <w:p>
      <w:r>
        <w:rPr>
          <w:b/>
        </w:rPr>
        <w:t>E. 2.2</w:t>
      </w:r>
    </w:p>
    <w:p>
      <w:r>
        <w:t>En procédure de première instance, le recourant s'était plaint que les montants retenus pour calculer le degré d'invalidité ne figuraient pas dans la décision entreprise et qu'aucune information n'avait été communiquée à ce sujet par l'office AI avant que ne soit rendue la décision litigieuse, de sorte qu'il n'était pas en mesure d'apprécier la pertinence de la décision. Sans s'exprimer sur le bien-fondé de ces griefs, le Tribunal administratif fédéral a considéré qu'une éventuelle violation du droit d'être entendu avait été en tout état de cause réparée devant lui, dans la mesure où le recourant avait eu la faculté de s'exprimer au sujet du calcul opéré et des montants retenus au titre de revenus avec et sans invalidité.</w:t>
      </w:r>
    </w:p>
    <w:p>
      <w:r>
        <w:rPr>
          <w:b/>
        </w:rPr>
        <w:t>E. 2.3</w:t>
      </w:r>
    </w:p>
    <w:p>
      <w:r>
        <w:t>En l'espèce, le fait de ne pas avoir indiqué dans le corps de la décision litigieuse les bases de la comparaison des revenus constituait incontestablement un défaut de motivation et, partant, une violation du droit d'être entendu. Cela étant, le Tribunal administratif fédéral, qui jouit d'un plein pouvoir d'examen, a fait communiquer les informations qui manquaient au recourant afin que celui-ci puisse prendre position à leur sujet. Il a eu, de la sorte, tout loisir de s'exprimer et de faire valoir ses moyens en fait et en droit avant que ne soit rendu le jugement attaqué. A cet égard, on ne voit pas en quoi l'office AI était tenu de commenter les pièces communiquées par les premiers juges, celles-ci permettant de comprendre sans explication complémentaire le sens de la décision sur opposition. En considérant que le vice avait été en tout état de cause guéri, les premiers juges n'ont par conséquent pas violé le droit fédéral.</w:t>
      </w:r>
    </w:p>
    <w:p>
      <w:r>
        <w:rPr>
          <w:b/>
        </w:rPr>
        <w:t>E. 3.1</w:t>
      </w:r>
    </w:p>
    <w:p>
      <w:r>
        <w:t>Sur le fond, le recourant fait grief au Tribunal administratif fédéral d'avoir considéré qu'il était en mesure d'exercer à plein temps une activité adaptée à son atteinte à la santé. L'ensemble des professions proposées par l'office AI et le Tribunal administratif fédéral ne seraient en effet pas raisonnablement exigibles au vu de son état de santé. Son incapacité de travail et de gain étant totales, il aurait par conséquent droit à une rente entière d'invalidité.</w:t>
      </w:r>
    </w:p>
    <w:p>
      <w:r>
        <w:rPr>
          <w:b/>
        </w:rPr>
        <w:t>E. 3.2.1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w:t>
      </w:r>
    </w:p>
    <w:p>
      <w:r>
        <w:rPr>
          <w:b/>
        </w:rPr>
        <w:t>E. 3.2.2</w:t>
      </w:r>
    </w:p>
    <w:p>
      <w:r>
        <w:t>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 ATF 110 V 273 consid. 4b p. 276; arrêt I 350/89 du 30 avril 1991 consid. 3b, in RCC 1991 p. 329).</w:t>
      </w:r>
    </w:p>
    <w:p>
      <w:r>
        <w:rPr>
          <w:b/>
        </w:rPr>
        <w:t>E. 3.2.3</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 art. 16 LPGA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w:t>
      </w:r>
    </w:p>
    <w:p>
      <w:r>
        <w:rPr>
          <w:b/>
        </w:rPr>
        <w:t>E. 3.2.4</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3.3</w:t>
      </w:r>
    </w:p>
    <w:p>
      <w:r>
        <w:t>En l'espèce, le Tribunal administratif fédéral a constaté - de manière à lier la Cour de céans - que le recourant pouvait exercer à plein temps une activité adaptée à son atteinte à la santé. Cette activité de substitution devait être de type léger à modéré, ne nécessiter aucun port de charge répété de plus de 10 kilos ni maintien de positions en porte-à-faux du tronc, et permettre les changements de position. Si les limitations fonctionnelles décrites par la juridiction de première instance peuvent de prime abord sembler conséquentes, elles représentent en fait les mesures classiques d'épargne en vue d'éviter les douleurs provoquées par une pathologie lombaire. D'un point de vue strictement médical, le recourant est objectivement en mesure de reprendre à plein temps l'exercice d'une activité lucrative. Il ne conteste d'ailleurs pas véritablement cet aspect du jugement. En tant qu'il estime en revanche qu'il n'existerait sur le marché du travail aucune activité exigible de sa part, le grief est mal fondé. Comme le relève le recourant lui-même, les emplois évoqués par l'office AI et le Tribunal administratif fédéral au cours de la procédure ne sont que des exemples. Il convient d'admettre que le marché du travail offre un éventail suffisamment large d'activités légères, dont on doit convenir qu'un nombre significatif sont adaptées aux limitations du recourant et accessibles sans aucune formation particulière. A titre d'exemples, on peut citer des tâches simples de surveillance, de vérification ou de contrôle. Pour le surplus, on rappellera qu'il n'y a pas lieu d'examiner dans quelle mesure la situation concrète du marché espagnol du travail permettrait au recourant de retrouver un emploi.</w:t>
      </w:r>
    </w:p>
    <w:p>
      <w:r>
        <w:rPr>
          <w:b/>
        </w:rPr>
        <w:t>E. 4.1</w:t>
      </w:r>
    </w:p>
    <w:p>
      <w:r>
        <w:t>Mal fondé, le recours doit être rejeté. Le recourant, qui succombe, supportera les frais judiciaires afférents à la présente procédure (art. 66 al. 1, 1ère phrase, LTF).</w:t>
      </w:r>
    </w:p>
    <w:p>
      <w:r>
        <w:rPr>
          <w:b/>
        </w:rPr>
        <w:t>E. 4.2</w:t>
      </w:r>
    </w:p>
    <w:p>
      <w:r>
        <w:t>Cependant, le recourant a déposé une demande d'assistance judiciaire visant à la dispense des frais judiciaires et à la désignation d'un avocat d'office.</w:t>
      </w:r>
    </w:p>
    <w:p>
      <w:r>
        <w:rPr>
          <w:b/>
        </w:rPr>
        <w:t>E. 4.2.1</w:t>
      </w:r>
    </w:p>
    <w:p>
      <w:r>
        <w:t>Selon la loi ( art. 64 LTF ) et la jurisprudence, les conditions d'octroi de l'assistance judiciaire gratuite sont en principe remplies si le requérant ne dispose pas de ressources suffisantes, si les conclusions ne paraissent pas vouées à l'échec et si l'assistance d'un avocat est nécessaire ou du moins indiquée ( ATF 125 V 371 consid. 5b p. 372 et les références).</w:t>
      </w:r>
    </w:p>
    <w:p>
      <w:r>
        <w:rPr>
          <w:b/>
        </w:rPr>
        <w:t>E. 4.2.2</w:t>
      </w:r>
    </w:p>
    <w:p>
      <w:r>
        <w:t>Une partie est dans le besoin lorsque ses ressources ne lui permettent pas - au moment du dépôt de la requête d'assistance judiciaire - de supporter les frais de procédure et ses propres frais de défense sans entamer les moyens nécessaires à son entretien et à celui de sa famille ( ATF 128 I 225 consid. 2.5.1 p. 232 et la référence). A cet égard, il y a lieu de tenir compte des ressources effectives du requérant et de sa fortune, mobilière et immobilière, pour autant que celle-ci soit disponible ( ATF 124 I 1 consid. 2a p. 2, 97 consid. 3b p. 98). L'Etat ne peut toutefois exiger que le requérant utilise ses économies, si elles constituent sa "réserve de secours", laquelle s'apprécie en fonction des besoins futurs de l'indigent selon les circonstances concrètes de l'espèce, tel l'état de santé et l'âge du requérant (arrêt 1P.450/2004 du 28 septembre 2004 consid. 2.2).</w:t>
      </w:r>
    </w:p>
    <w:p>
      <w:r>
        <w:rPr>
          <w:b/>
        </w:rPr>
        <w:t>E. 4.2.3</w:t>
      </w:r>
    </w:p>
    <w:p>
      <w:r>
        <w:t>Il ressort de la requête d'assistance judiciaire et des pièces produites à son appui que le recourant est propriétaire avec son épouse de plusieurs biens immobiliers en Espagne et que le montant de leur fortune s'élève à plusieurs dizaines de milliers d'euros. Dans la mesure où il ne démontre pas qu'il ne pourrait pas engager ou obtenir un prêt sur la base de ces éléments de fortune, on peut exiger du recourant qu'il supporte personnellement les frais de la procédure fédérale, le montant disponible étant largement supérieur à celui reconnu par la jurisprudence au titre de la " réserve de secours ". La demande d'assistance judiciaire doit par conséquent être rejetée, sans qu'il soit nécessaire d'examiner plus avant les conditions des chances de succès et de l'assistance nécessaire ou indiquée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