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9C_700/2024 vom 8. Januar 2025</w:t>
      </w:r>
    </w:p>
    <w:p>
      <w:r>
        <w:t>Bundesgericht, 2025-01-08, DE</w:t>
      </w:r>
    </w:p>
    <w:p>
      <w:r>
        <w:rPr>
          <w:b/>
        </w:rPr>
        <w:t xml:space="preserve">Quelle: </w:t>
      </w:r>
      <w:r>
        <w:t>https://mcp.opencaselaw.ch/entscheid/bger_9C_700_2024</w:t>
      </w:r>
    </w:p>
    <w:p>
      <w:r>
        <w:t>FR: TF 9C_700/2024 du 8 janvier 2025</w:t>
      </w:r>
    </w:p>
    <w:p>
      <w:r>
        <w:t>IT: TF 9C_700/2024 del 8 gennaio 2025</w:t>
      </w:r>
    </w:p>
    <w:p>
      <w:pPr>
        <w:pStyle w:val="Heading2"/>
      </w:pPr>
      <w:r>
        <w:t>Erwägungen</w:t>
      </w:r>
    </w:p>
    <w:p>
      <w:r>
        <w:rPr>
          <w:b/>
        </w:rPr>
        <w:t>E. 1</w:t>
      </w:r>
    </w:p>
    <w:p>
      <w:r>
        <w:t>Mit Verfügung vom 12. November 2024 wies das Kantonsgericht Luzern ein Gesuch von A.________ um unentgeltliche Rechtspflege in einem Verwaltungsgerichts- resp. Bundessteuerbeschwerdeverfahren zufolge Aussichtslosigkeit ab. A.________ führt gegen diese Verfügung Beschwerde in öffentlich-rechtlichen Angelegenheiten und beantragt die Gutheissung des im kantonalen Verfahren gestellten Gesuchs um unentgeltliche Rechtspflege sowie sinngemäss die Aufhebung der vor Kantonsgericht angefochtenen Entscheide. Zudem beantragt sie auch im Verfahren vor Bundesgericht die Gewährung der unentgeltlichen Rechtspflege.</w:t>
      </w:r>
    </w:p>
    <w:p>
      <w:r>
        <w:rPr>
          <w:b/>
        </w:rPr>
        <w:t>E. 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3</w:t>
      </w:r>
    </w:p>
    <w:p>
      <w:r>
        <w:t>Das Kantonsgericht erwägt in der angefochtenen Verfügung, die Beschwerdeführerin habe weder in der Einsprache noch in den Beschwerden die Unrichtigkeit der Steuerveranlagung nachgewiesen; insbesondere habe sie für die in Frage stehende Steuerperiode 2022 keine Steuererklärung eingereicht. Die Bussenverfügung vom 21. Mai 2024 sei bereits in Rechtskraft erwachsen und könne nicht mehr angefochten werden. Die Beschwerden seien daher aussichtslos, weshalb das Gesuch um unentgeltliche Rechtspflege abzuweisen sei.</w:t>
      </w:r>
    </w:p>
    <w:p>
      <w:r>
        <w:rPr>
          <w:b/>
        </w:rPr>
        <w:t>E. 4</w:t>
      </w:r>
    </w:p>
    <w:p>
      <w:r>
        <w:t>Die Beschwerdeführerin setzt sich in ihrer Eingabe nicht mit den Ausführungen der Vorinstanz auseinander, sondern befasst sich weitschweifig mit der ihrer Ansicht nach unzureichenden Unterstützung und unwürdigen Behandlung durch Kanton und Gemeinde. Sie macht weder substanziiert geltend, sie habe die Unrichtigkeit der Steuerveranlagung nachgewiesen, noch dass ihre Beschwerden aus einem anderen Grund nicht aussichtslos gewesen wären oder ihr die unentgeltliche Rechtspflege trotz Aussichtslosigkeit hätte gewährt werden müssen. Soweit sie sich zu materiellen Fragen der Steuerveranlagung äussert und entsprechende Anträge stellt, ist darauf mangels Anfechtungsobjekt nicht einzugehen. Insgesamt vermag die Beschwerdeschrift den Anforderungen an die Beschwerdebegründung gemäss Art. 42 BGG nicht zu genügen.</w:t>
      </w:r>
    </w:p>
    <w:p>
      <w:r>
        <w:rPr>
          <w:b/>
        </w:rPr>
        <w:t>E. 5</w:t>
      </w:r>
    </w:p>
    <w:p>
      <w:r>
        <w:t>Auf die Beschwerde ist mangels einer tauglichen Begründung im Verfahren nach Art. 108 Abs. 1 lit. b und Abs. 2 BGG nicht einzutreten. Das Gesuch um unentgeltliche Rechtspflege ist zufolge Aussichtslosigkeit des Rechtsmittels abzuweisen ( Art. 64 Abs. 1 und 2 BGG ). Die unterliegende Beschwerdeführerin hat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