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9C_700/2010 vom 10. Dezember 2010</w:t>
      </w:r>
    </w:p>
    <w:p>
      <w:r>
        <w:t>Bundesgericht, 2010-12-10, FR</w:t>
      </w:r>
    </w:p>
    <w:p>
      <w:r>
        <w:rPr>
          <w:b/>
        </w:rPr>
        <w:t xml:space="preserve">Quelle: </w:t>
      </w:r>
      <w:r>
        <w:t>https://mcp.opencaselaw.ch/entscheid/bger_9C_700_2010</w:t>
      </w:r>
    </w:p>
    <w:p>
      <w:r>
        <w:t>FR: TF 9C_700/2010 du 10 décembre 2010</w:t>
      </w:r>
    </w:p>
    <w:p>
      <w:r>
        <w:t>IT: TF 9C_700/2010 del 10 dicembre 2010</w:t>
      </w:r>
    </w:p>
    <w:p>
      <w:pPr>
        <w:pStyle w:val="Heading2"/>
      </w:pPr>
      <w:r>
        <w:t>Erwägungen</w:t>
      </w:r>
    </w:p>
    <w:p>
      <w:r>
        <w:rPr>
          <w:b/>
        </w:rPr>
        <w:t>E. 1.1</w:t>
      </w:r>
    </w:p>
    <w:p>
      <w:r>
        <w:t>Par le ch. 2 du dispositif du jugement entrepris, la juridiction cantonale a renvoyé la cause à l'office recourant dans le sens des considérants. Il ressort de ces derniers que le jugement entrepris ne constitue pas une décision incidente au sens de l' art. 93 LTF , dès lors que la juridiction cantonale a statué définitivement sur la prétention de l'intimé, le renvoi ne visant que les modalités d'exécution du droit à la mesure médicale. Il s'agit par conséquent d'un jugement final (cf. art. 90 LTF ; 9C_684/2007 du 27 septembre 2007 consid. 1.1 in SVR 2008 IV n° 39 p. 131).</w:t>
      </w:r>
    </w:p>
    <w:p>
      <w:r>
        <w:rPr>
          <w:b/>
        </w:rPr>
        <w:t>E. 1.2</w:t>
      </w:r>
    </w:p>
    <w:p>
      <w:r>
        <w:t>Dans sa réponse, l'intimé conclut à l'irrecevabilité du recours. Cependant, tous les motifs qu'il invoque à ce sujet relèvent du fond et ne sont pas propres à faire douter le Tribunal fédéral de la recevabilité du recours. Au demeurant, il n'existe aucun motif d'irrecevabilité qui empêcherait l'entrée en matière sur le recours.</w:t>
      </w:r>
    </w:p>
    <w:p>
      <w:r>
        <w:rPr>
          <w:b/>
        </w:rPr>
        <w:t>E. 1.3</w:t>
      </w:r>
    </w:p>
    <w:p>
      <w:r>
        <w:t>A l'appui de son mémoire, le recourant produit un avis médical du 19 août 2010 établi par les docteurs V.________ et N.________ (du SMR), il s'agit d'un moyen de preuve nouveau au sens de l' art. 99 al. 1 LTF , qui ne peut pas être pris en considération dans la présente procédure, dès lors qu'il ne résulte pas du jugement attaqué.</w:t>
      </w:r>
    </w:p>
    <w:p>
      <w:r>
        <w:rPr>
          <w:b/>
        </w:rPr>
        <w:t>E. 2.1</w:t>
      </w:r>
    </w:p>
    <w:p>
      <w:r>
        <w:t>Le présent litige porte sur la prétention de l'assuré à une mesure médicale nécessaire au traitement de son infirmité congénitale au sens de l' art. 13 LAI .</w:t>
      </w:r>
    </w:p>
    <w:p>
      <w:r>
        <w:rPr>
          <w:b/>
        </w:rPr>
        <w:t>E. 2.2</w:t>
      </w:r>
    </w:p>
    <w:p>
      <w:r>
        <w:t>Aux termes de l' art. 13 LAI , les assurés ont droit aux mesures médicales nécessaires au traitement des infirmités congénitales jusqu'à l'âge de 20 ans révolus (al. 1). Les mesures médicales accordées conformément à cet article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il doit, en d'autres termes, exister entre l'infirmité congénitale et l'affection secondaire un lien de causalité adéquate qualifié ( ATF 129 V 207 consid. 3.3 p. 209). Il n'est pas nécessaire, cependant, que l'affection secondaire soit directement liée à l'infirmité; des conséquences même indirectes de l'affection congénitale de base peuvent également satisfaire à l'exigence de la causalité adéquate (arrêt I 318/90 du 4 juin 1991 consid. 3b in Pra 1991 no 214 p. 903 et les références).</w:t>
      </w:r>
    </w:p>
    <w:p>
      <w:r>
        <w:rPr>
          <w:b/>
        </w:rPr>
        <w:t>E. 3.1</w:t>
      </w:r>
    </w:p>
    <w:p>
      <w:r>
        <w:t>L'office AI reproche à la juridiction cantonale d'avoir admis un lien de causalité entre l'affection respiratoire et l'infirmité congénitale dont souffre l'assuré, en se fondant sur le rapport du docteur W.________ et en s'écartant des conclusions du docteur N.________ du SMR. Il invoque le ch. 11 de la Circulaire de l'OFAS concernant les mesures médicales de réadaptation de l'AI (CMRM), lequel prévoit que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w:t>
      </w:r>
    </w:p>
    <w:p>
      <w:r>
        <w:t>Se rapportant aux conclusions du docteur N.________, le recourant soutient qu'il existe un événement extérieur, à savoir une allergie importante aux phanères d'animaux qui est à mettre en relation avec l'hyper-réactivité bronchique et l'asthme modéré dont souffre l'intimé, et qui a pour conséquence d'interrompre le lien de causalité adéquate entre les difficultés respiratoires et l'infirmité congénitale. Dès lors les frais liés au traitement des symptômes respiratoires ne peuvent pas être mis, selon lui, à la charge de l'assurance-invalidité.</w:t>
      </w:r>
    </w:p>
    <w:p>
      <w:r>
        <w:t>Il n'est cependant pas nécessaire que l'affection secondaire soit directement liée à l'infirmité; des conséquences même indirectes de l'infirmité congénitale peuvent également satisfaire à l'exigence d'un lien qualifié de causalité adéquate (arrêt du 4 juin 1991, cité).</w:t>
      </w:r>
    </w:p>
    <w:p>
      <w:r>
        <w:rPr>
          <w:b/>
        </w:rPr>
        <w:t>E. 3.2</w:t>
      </w:r>
    </w:p>
    <w:p>
      <w:r>
        <w:t>Cela étant, le dossier médical de l'assuré comporte deux avis médicaux qui s'opposent sur la question de l'existence d'une relation de causalité entre l'affection secondaire et l'infirmité congénitale. Dans son rapport du 13 novembre 2008, le docteur W.________ avait relevé que l'asthme et les difficultés respiratoires de son patient étaient des conséquences directes des anomalies vécues à la naissance; les angoisses et les hyperventilations faisaient partie de ces conséquences. En revanche, dans ses rapports des 6 octobre et 8 décembre 2008, le médecin du SMR a constaté que la relation de causalité n'était pas du tout évidente, mettant en relation l'hyper-réactivité bronchique et l'asthme modéré dont souffre l'intimé avec une allergie importante aux phanères d'animaux qui avait été diagnostiquée quelques années auparavant par le docteur O.________ selon son rapport du 11 mai 2000.</w:t>
      </w:r>
    </w:p>
    <w:p>
      <w:r>
        <w:rPr>
          <w:b/>
        </w:rPr>
        <w:t>E. 3.3</w:t>
      </w:r>
    </w:p>
    <w:p>
      <w:r>
        <w:t>Selon le principe de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125 V 351 consid. 3a p. 352; 122 V 157 consid. 1c p. 160 et les références).</w:t>
      </w:r>
    </w:p>
    <w:p>
      <w:r>
        <w:rPr>
          <w:b/>
        </w:rPr>
        <w:t>E. 3.4</w:t>
      </w:r>
    </w:p>
    <w:p>
      <w:r>
        <w:t>En l'espèce, la juridiction cantonale a violé le principe de libre appréciation des preuves. Elle s'est limitée à rappeler que le recourant avait pris en charge les précédents traitements respiratoires et a écarté le rapport du SMR en affirmant, sans autre motivation, que l'allergie aux phanères d'animaux n'était pas propre à rompre le lien de causalité naturelle. Or, sur ce point, le dossier médical de l'intimé contient précisément deux avis médicaux qui s'opposent et qu'il n'est pas possible de départager, les deux rapports ne contenant que des affirmations en faveur de l'une ou l'autre thèse sans explication suffisante pour convaincre du bien-fondé de leur position. Aucun des deux avis médicaux n'était donc suffisamment motivé pour emporter la conviction en faveur de l'existence ou non d'un lien de causalité.</w:t>
      </w:r>
    </w:p>
    <w:p>
      <w:r>
        <w:rPr>
          <w:b/>
        </w:rPr>
        <w:t>E. 4</w:t>
      </w:r>
    </w:p>
    <w:p>
      <w:r>
        <w:t>Dans ces circonstances, il se justifie d'annuler le jugement entrepris, ainsi que la décision de l'office AI, et de renvoyer la cause au recourant pour qu'il complète l'instruction par une expertise médicale sur la relation entre les troubles respiratoires et l'infirmité congénitale dont est atteint l'intimé, puis se prononce à nouveau.</w:t>
      </w:r>
    </w:p>
    <w:p>
      <w:r>
        <w:rPr>
          <w:b/>
        </w:rPr>
        <w:t>E. 5</w:t>
      </w:r>
    </w:p>
    <w:p>
      <w:r>
        <w:t>Vu l'issue du litige, l'intimé supportera les frais de justice de la présente procédure ( art. 66 al. 1 LTF ). Il ne saurait, par ailleurs,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