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9C_6/2023 vom 12. März 2024</w:t>
      </w:r>
    </w:p>
    <w:p>
      <w:r>
        <w:t>Bundesgericht, 2024-03-12, DE</w:t>
      </w:r>
    </w:p>
    <w:p>
      <w:r>
        <w:rPr>
          <w:b/>
        </w:rPr>
        <w:t xml:space="preserve">Quelle: </w:t>
      </w:r>
      <w:r>
        <w:t>https://mcp.opencaselaw.ch/entscheid/bger_9C_6_2023</w:t>
      </w:r>
    </w:p>
    <w:p>
      <w:r>
        <w:t>FR: TF 9C_6/2023 du 12 mars 2024</w:t>
      </w:r>
    </w:p>
    <w:p>
      <w:r>
        <w:t>IT: TF 9C_6/2023 del 12 marzo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Zu prüfen ist, ob die Vorinstanz Bundesrecht verletzte, indem sie in Übereinstimmung mit der Beschwerdegegnerin erkannte, die Bestimmungen des BVG-Obligatoriums bildeten die Grundlage für die der Beschwerdeführerin ab 1. Juni 2018 zustehende Invalidenrente. Wie in der Beschwerde ausdrücklich festgehalten wird, handelt es sich dabei um die einzig streitige Frage. Keine Bedeutung kommt somit dem Umstand zu, dass gemäss dem Beschwerdebegehren darüber hinaus die Zusprache einer Rente in der Zeit vom 1. August 2015 bis 31. Mai 2018 beantragt wird. Über den diese Periode betreffenden Anspruch besteht seit jeher Einigkeit unter den Parteien (vgl. Schreiben der CPV/CAP vom 17. Juli 2019).</w:t>
      </w:r>
    </w:p>
    <w:p>
      <w:r>
        <w:rPr>
          <w:b/>
        </w:rPr>
        <w:t>E. 3.1</w:t>
      </w:r>
    </w:p>
    <w:p>
      <w:r>
        <w:t>Gemäss Art. 26 Abs. 3 BVG erlischt der Rentenanspruch unter anderem mit dem Wegfall der Invalidität, wobei Art. 26a BVG - welche Bestimmung auch für die weitergehende Vorsorge gilt ( Art. 49 Abs. 2 Ziff. 3b BVG ) - vorbehalten bleibt. Für Fälle, in denen die Rente der Invalidenversicherung nach Verminderung des Invaliditätsgrades herabgesetzt oder aufgehoben wird, sieht Art. 26a Abs. 1 BVG vor, dass die versicherte Person während drei Jahren zu den gleichen Bedingungen bei der leistungspflichtigen Vorsorgeeinrichtung versichert bleibt, sofern sie vor der Herabsetzung oder Aufhebung der Rente an Massnahmen zur Wiedereingliederung nach Art. 8a IVG teilgenommen hat oder die Rente wegen der Wiederaufnahme einer Erwerbstätigkeit oder Erhöhung des Beschäftigungsgrades herabgesetzt oder aufgehoben wurde. Der Versicherungsschutz und der Leistungsanspruch bleiben aufrechterhalten, solange die versicherte Person eine Übergangsleistung nach Art. 32 IVG bezieht (Abs. 2). Während der Weiterversicherung und Aufrechterhaltung des Leistungsanspruches kann die Vorsorgeeinrichtung die Invalidenrente entsprechend dem verminderten Invaliditätsgrad der versicherten Person kürzen, jedoch nur soweit, wie die Kürzung durch ein Zusatzeinkommen der versicherten Personen ausgeglichen wird (Abs. 3).</w:t>
      </w:r>
    </w:p>
    <w:p>
      <w:r>
        <w:rPr>
          <w:b/>
        </w:rPr>
        <w:t>E. 3.2</w:t>
      </w:r>
    </w:p>
    <w:p>
      <w:r>
        <w:t>Mit den Invalidenleistungen befasst sich Art. 38 des Versicherungs-Reglements 2017 der CPV/CAP (nachfolgend: Vorsorgereglement). Danach gilt eine versicherte Person, die von der IV als invalid anerkannt wird, auch bei der CPV/CAP als invalid, sofern sie beim Eintritt der Arbeitsunfähigkeit, deren Ursache zur Invalidität geführt hat, bei der CPV/CAP versichert war. Vorbehalten bleiben offensichtlich unhaltbare Verfügungen der IV (Art. 38.1 Vorsorgereglement). Der Anspruch auf eine Invalidenrente der CPV/CAP beginnt mit dem Rentenanspruch der IV. Er erlischt mit dem Ende des Rentenanspruchs der IV bzw. mit dem Ende der provisorischen Weiterversicherung und Aufrechterhaltung des Leistungsanspruches (spätestens mit dem Erreichen des ordentlichen AHV-Rentenalters, zu welchem Zeitpunkt Anspruch auf eine gleich hohe Altersrente besteht; Art. 38.3 Vorsorgereglement). Für die Bestimmung des Invaliditätsgrades der CPV/CAP gilt der Rentengrad gemäss IV. Der Anspruch auf eine Invalidenrente entsteht bei einem Rentengrad von mindestens 40 %. Der aktive Versicherungsgrad ergibt sich aus der Differenz des Rentengrades zu 100 % (Art. 38.5 Vorsorgereglement).</w:t>
      </w:r>
    </w:p>
    <w:p>
      <w:r>
        <w:rPr>
          <w:b/>
        </w:rPr>
        <w:t>E. 3.3</w:t>
      </w:r>
    </w:p>
    <w:p>
      <w:r>
        <w:t>Betreffend Änderungen des Rentengrades gilt gemäss Art. 39 Vorsorgereglement: Entsteht infolge Änderung des Rentengrades bei der IV ein anderer Rentenanspruch oder ändert der von der CPV/CAP festgelegte Invaliditätsgrad, so werden die Leistungen der CPV/CAP entsprechend angepasst. Ausgenommen bleibt die provisorische Weiterversicherung und Aufrechterhaltung des Leistungsanspruchs bei Herabsetzung oder Aufhebung der Rente der IV gemäss Art. 26a BVG (Art. 39.1 Vorsorgereglement). Besteht für eine teilinvalide Person keine aktive Versicherung bei der CPV/CAP und ist gleichwohl die CPV/CAP für die Änderung des Invaliditätsgrades zuständig, entscheidet sie aufgrund des Sachverhaltes (Art. 39.2 Vorsorgereglement). Die Berechnung der Anpassung der Rentenansprüche von Versicherten ohne aktive Versicherung bei der CPV/CAP basiert auf den Mindestbestimmungen zur Invalidität nach BVG (Art. 39.3 Vorsorgereglement).</w:t>
      </w:r>
    </w:p>
    <w:p>
      <w:r>
        <w:rPr>
          <w:b/>
        </w:rPr>
        <w:t>E. 4.1</w:t>
      </w:r>
    </w:p>
    <w:p>
      <w:r>
        <w:t>Streitentscheidend ist nach den in E. 3 dargelegten Grundlagen mithin die Frage, ob sich die Beschwerdeführerin zu Recht auf die provisorische Weiterversicherung gemäss Art. 26a Abs. 1 BVG beruft, denn diesfalls wäre sie bei revisionsweiser Herabsetzung oder Aufhebung des IV-Rentenanspruchs während dreier Jahre zu den bisherigen reglementarischen Bedingungen bei der Beschwerdegegnerin versichert, dies bei einem intakten reglementarischen Leistungsanspruch. Die Vorinstanz und die Beschwerdegegnerin verneinen die Frage und stellen sich auf den Standpunkt, dass sich der Rentenanspruch der Beschwerdeführerin ab Juni 2018 neu nach den Bestimmungen des BVG richtet (Art. 39.3 Vorsorgereglement). Die Existenz einer provisorischen Weiterversicherung ist kontrovers, weil sich die Verfahrensbeteiligten uneinig sind, ob die Norm des Art. 26a Abs. 1 BVG einen effektiven Rentenbezug vor der Teilnahme an Eingliederungsmassnahmen (bzw. der dieser gleichgestellten Wiederaufnahme einer Erwerbstätigkeit oder der Erhöhung des Beschäftigungsgrades) voraussetzt. Anders als die Vorinstanz und die Beschwerdegegnerin hält die Beschwerdeführerin dafür, dass die provisorische Weiterversicherung auch gelten müsse, wenn - wie bei ihr der Fall - rückwirkend auf einen Zeitpunkt, zu welchem Eingliederungsmassnahmen stattfanden, eine Rente zugesprochen werde, was sie insbesondere aus dem Gleichbehandlungsgrundsatz gemäss Art. 8 Abs. 1 BV ableitet, mithin aus einer verfassungskonformen Auslegung des Art. 26a Abs. 1 BVG .</w:t>
      </w:r>
    </w:p>
    <w:p>
      <w:r>
        <w:rPr>
          <w:b/>
        </w:rPr>
        <w:t>E. 4.2</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V 21 E. 4.3; 148 V 373 E. 5.1; 147 V 297 E. 6.1).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 BGE 148 V 385 E. 5.1; 141 V 221 E. 5.2.1).</w:t>
      </w:r>
    </w:p>
    <w:p>
      <w:r>
        <w:rPr>
          <w:b/>
        </w:rPr>
        <w:t>E. 4.3</w:t>
      </w:r>
    </w:p>
    <w:p>
      <w:r>
        <w:t>Nach dem (insoweit in allen drei Amtssprachen übereinstimmenden) Wortlaut des Art. 26a Abs. 1 BVG wird für eine Weiterversicherung vorausgesetzt, dass die versicherte Person "vor der Herabsetzung oder Aufhebung der Rente an Massnahmen zur Wiedereingliederung nach Artikel 8a IVG teilgenommen hat oder die Rente wegen der Wiederaufnahme einer Erwerbstätigkeit oder Erhöhung des Beschäftigungsgrades herabgesetzt oder aufgehoben wurde". Diese Formulierung deutet darauf hin, dass ein Rentenbezug bereits vor den genannten Ereignissen (Teilnahme an Wiedereingliederungsmassnahmen, Wiederaufnahme einer Erwerbstätigkeit, Erhöhung des Beschäftigungsgrades) stattgefunden haben muss. In dieselbe Richtung weist die Überschrift des (in Art. 26a Abs. 1 BVG erwähnten) Art. 8a IVG "Wiedereingliederung von Rentenbezügerinnen und Rentenbezügern mit Eingliederungspotential" (wiederum in allen drei sprachlichen Fassungen). Im Einklang damit lässt sich den Materialien (Botschaft vom 24. Februar 2010 zur Änderung des Bundesgesetzes über die Invalidenversicherung [6. IV-Revision, erstes Massnahmenpaket, BBl 2010 1817 ff.]) entnehmen, dass mit der 6. IV-Revision das Instrument der "eingliederungsorientierten Rentenrevision" eingeführt wurde, um eine vermehrte Wiedereingliederung von Personen mit Eingliederungspotenzial und gleichzeitig eine Reduktion des Rentenbestandes zu erreichen. Nach den Ausführungen in der Botschaft wurde dabei ein Paradigmenwechsel eingeleitet, weg von "einmal Rente, immer Rente" hin zu "Rente als Brücke zur Eingliederung". Im Rahmen des Rentenrevisionsverfahrens solle neu die Wiedereingliederung von Personen mit Eingliederungspotenzial an oberster Stelle stehen; diese würden aktiv und mit entsprechender Unterstützung (Beratung, Begleitung, Massnahmen) auf eine Wiedereingliederung vorbereitet (BBl 2010 1839 f. Ziff. 1.3.1). Es sei das Ziel, die Leistungs- und Erwerbsfähigkeit von Rentenbezügerinnen und -bezügern soweit zu verbessern, dass eine Wiedereingliederung möglich werde und die Rente im Gegenzug für die Zukunft entsprechend herabgesetzt oder aufgehoben werden könne (BBl 2010 1842 Ziff. 1.3.1). Im Fokus standen dabei rentenbeziehende Personen, bei denen der Gesundheitszustand oder die erwerblichen Verhältnisse keine anspruchswesentliche Änderung erfahren hatten (BBl 2010 1842 und 1887 Ziff. 2; vgl. auch BGE 145 V 2 E. 4.3.1 zur Verpflichtung zur Teilnahme an zumutbaren Massnahmen auch bei fehlendem Revisionsgrund im Sinne von Art. 17 Abs. 1 ATSG ). Zur Unterstützung des Weges "Eingliederung aus Rente" bzw. zum Abbau der bisher vorhandenen Negativanreize wurden flankierende Massnahmen vorgesehen, so insbesondere die Weiterausrichtung der IV-Rente bis zum Abschluss der Massnahmen und das erleichterte Wiederaufleben der IV-Rente bei einer erneuten Verschlechterung der Erwerbsfähigkeit bis zu drei Jahre nach erfolgreicher Eingliederung (BBl 2010 1849) sowie die - im vorliegenden Fall interessierende - provisorische Weiterversicherung bei der Vorsorgeeinrichtung und Aufrechterhaltung des Leistungsanspruches gegenüber derselben nach Herabsetzung oder Aufhebung der IV-Rente (BBl 2010 1916 Ziff. 2). Sinn und Zweck der provisorischen Weiterversicherung im Sinne von Art. 26a BVG ist mithin die Förderung der Wiedereingliederung von rentenbeziehenden Personen (ISABELLE VETTER-SCHREIBER, BVG und FZG, Kommentar, 4. Aufl. 2021, N 1 zu Art. 26a BVG ) bzw. der Schutz der rentenbeziehenden Personen, die an Wiedereingliederungsmassnahmen teilnehmen (BBl 2010 1917; HÜRZELER/STEINER : in: BVG und FZG, Schneider/Geiser/Gächter [Hrsg.], 2. Aufl. 2019, N 3 zu Art. 26a BVG ; BASILE CARDINAUX, Eingliederung und Wiedereingliederung aus Sicht der Vorsorgeeinrichtung, SZS 2016 S. 685 ff., 707 f.).</w:t>
      </w:r>
    </w:p>
    <w:p>
      <w:r>
        <w:rPr>
          <w:b/>
        </w:rPr>
        <w:t>E. 4.4</w:t>
      </w:r>
    </w:p>
    <w:p>
      <w:r>
        <w:t>Die in E. 4.3 dargelegten Auslegungselemente führen mithin übereinstimmend zum Schluss, dass sich die Bestimmung des Art. 26a BVG auf die Aufhebung oder Herabsetzung der Invalidenrente als Folge der Wiedereingliederung aus einer Rentensituation bezieht. Gleichzeitig steht damit fest, dass die Norm keine (direkte) Anwendung findet auf den davon zu unterscheidenden - bei der Beschwerdeführerin vorliegenden - Sachverhalt, in welchem einer versicherten Person rückwirkend eine abgestufte und/oder befristete Rente zugesprochen wird, während deren Laufzeit berufliche Eingliederungsmassnahmen stattfanden (vgl. auch Urteil 9C_381/2022 vom 19. Juli 2023 E. 3.3, wonach nicht jede Herabsetzung oder Aufhebung einer Invalidenrente, bei welcher berufliche Massnahmen im Spiel waren, eine Weiterversicherung nach Art. 26a BVG auslöst).</w:t>
      </w:r>
    </w:p>
    <w:p>
      <w:r>
        <w:rPr>
          <w:b/>
        </w:rPr>
        <w:t>E. 4.5</w:t>
      </w:r>
    </w:p>
    <w:p>
      <w:r>
        <w:t>Die Beschwerdeführerin versucht nun, aus dem Grundsatz der Gleichbehandlung ( Art. 8 Abs. 1 BV ) abzuleiten, dass die dreijährige Schutzfrist auch in der bei ihr vorliegenden Konstellation gelten müsse. Der ihr vorschwebenden verfassungskonformen Auslegung stehen allerdings der klare Wortlaut und der Sinn von Art. 26a Abs. 1 BVG entgegen (vgl. E. 4.2 in fine und 4.3). Darüber hinaus spricht gegen die in der Beschwerde befürwortete Interpretation, dass sich eine rentenbeziehende Person, die sich Wiedereingliederungsmassnahmen unterzieht mit dem Risiko, dadurch ihres Rentenanspruches ganz oder teilweise verlustig zu gehen (Eingliederung aus Rente), in einer wesentlich anderen Situation befindet als eine versicherte Person, bei welcher vorab mit Eingliederungsmassnahmen versucht wird, eine rentenbegründende Invalidität zu verhindern (Eingliederung vor Rente). Dass sich die "Eingliederung aus Rente" erheblich schwieriger und aufwändiger gestaltet als die "Eingliederung vor Rente", entspricht denn auch der Erfahrung der IV-Stellen (RITLER/LÜTHI, Eingliederung und Wiedereingliederung aus der Sicht der Invalidenversicherung [BSV], SZS 2016 S. 722 ff., 739). Dieses Unterschieds war sich der Gesetzgeber sehr wohl bewusst: Mit Massnahmen wie insbesondere der provisorischen Weiterversicherung nach Art. 26a Abs. 1 BVG beabsichtigte er, die sich bei der Wiedereingliederung von rentenbeziehenden Personen ergebenden speziellen Hindernisse, soweit möglich, aus dem Weg zu räumen (vgl. dazu E. 4.3). Entgegen der Beschwerdeführerin sind deshalb keine objektiven Gründe ersichtlich, den Geltungsbereich dieses vom Gesetzgeber allein für rentenbeziehende Personen vorgesehenen Instituts auf Sachverhalte wie den hier vorliegenden auszuweiten, zumal in diesen die Hürden für eine Eingliederung geringer sind und kein zur Situation "Eingliederung aus Rente" analoges Schutzbedürfnis besteht. Ein solches ergibt sich auch nicht daraus, dass sich die rückwirkende Zusprache einer abgestuften und/oder zeitlich befristeten Invalidenrente (wie die Beschwerdeführerin insoweit zutreffend vorbringt) grundsätzlich nach denselben Regeln richtet wie die Revision eines bestehenden Rentenanspruchs im Sinne von Art. 17 Abs. 1 ATSG ( BGE 148 V 321 E. 7.3.1; 145 V 209 E. 5.3). Die von der Beschwerdeführerin sinngemäss angeführte Tatsache, dass dem Zeitpunkt, zu welchem die IV-Stelle über den Rentenanspruch verfügt, etwas Zufälliges anhaftet, vermag nichts daran zu ändern, dass die versicherte Person sich betreffend (Wieder-) Eingliederungsmassnahmen vor dem IV-Entscheid (als Rentenanwärterin) in einer grundlegend anderen Position befindet als danach (als Rentenbezügerin), womit sachliche Gründe für die gesetzlich vorgesehene Ungleichbehandlung bestehen. Für eine verfassungskonforme Auslegung im in der Beschwerde befürworteten Sinne besteht damit kein Raum.</w:t>
      </w:r>
    </w:p>
    <w:p>
      <w:r>
        <w:rPr>
          <w:b/>
        </w:rPr>
        <w:t>E. 4.6</w:t>
      </w:r>
    </w:p>
    <w:p>
      <w:r>
        <w:t>Zusammenfassend ergibt sich, dass der hier zu beurteilende Sachverhalt keinen Anwendungsfall der provisorischen Weiterversicherung nach Art. 26a Abs. 1 BVG darstellt. Der Beschwerdeführerin steht deshalb mit Wirkung ab 1. Juni 2018 eine Invalidenrente gemäss den BVG-Mindestbestimmungen zu (vgl. Art. 39.1 und 39.3 Vorsorgereglement). Das angefochtene Urteil erweist sich damit als bundesrechtskonform.</w:t>
      </w:r>
    </w:p>
    <w:p>
      <w:r>
        <w:rPr>
          <w:b/>
        </w:rPr>
        <w:t>E. 5</w:t>
      </w:r>
    </w:p>
    <w:p>
      <w:r>
        <w:t>Entsprechend dem Prozessausgang gehen die Gerichtskosten zu Lasten der Beschwerdeführerin ( Art. 66 Abs. 1 Satz 1 BGG ). Die obsiegende Vorsorgeeinrichtung kann keine Parteientschädigung beanspruchen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