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9C_69/2023 vom 25. Januar 2024</w:t>
      </w:r>
    </w:p>
    <w:p>
      <w:r>
        <w:t>Bundesgericht, 2024-01-25, DE</w:t>
      </w:r>
    </w:p>
    <w:p>
      <w:r>
        <w:rPr>
          <w:b/>
        </w:rPr>
        <w:t xml:space="preserve">Quelle: </w:t>
      </w:r>
      <w:r>
        <w:t>https://mcp.opencaselaw.ch/entscheid/bger_9C_69_2023</w:t>
      </w:r>
    </w:p>
    <w:p>
      <w:r>
        <w:t>FR: TF 9C_69/2023 du 25 janvier 2024</w:t>
      </w:r>
    </w:p>
    <w:p>
      <w:r>
        <w:t>IT: TF 9C_69/2023 del 25 gennaio 2024</w:t>
      </w:r>
    </w:p>
    <w:p>
      <w:pPr>
        <w:pStyle w:val="Heading2"/>
      </w:pPr>
      <w:r>
        <w:t>Erwägungen</w:t>
      </w:r>
    </w:p>
    <w:p>
      <w:r>
        <w:rPr>
          <w:b/>
        </w:rPr>
        <w:t>E. 1</w:t>
      </w:r>
    </w:p>
    <w:p>
      <w:r>
        <w:t>Zur Beschwerde in öffentlich-rechtlichen Angelegenheiten ist gemäss Art. 89 Abs. 1 BGG berechtigt, wer vor der Vorinstanz am Verfahren teilgenommen hat oder keine Möglichkeit zur Teilnahme erhalten hat; durch den angefochtenen Entscheid oder Erlass besonders berührt ist und ein schutzwürdiges Interesse an dessen Aufhebung oder Änderung hat. Rechtsprechungsgemäss ist eine Vorsorgeeinrichtung, welche der versicherten Person eine Invalidenrente auszurichten hat, auf Grund ihrer nachrangigen Leistungspflicht und der Kürzungsmöglichkeit nach Art. 24 BVV 2 durch den Rentenentscheid einer anderen Sozialversicherung berührt und damit legitimiert, diesen zu Gunsten der versicherten Person durch Beschwerde beim kantonalen Gericht anzufechten ( BGE 134 V 153 ). Entsprechend ist auch die Legitimation der Vorsorgeeinrichtung für die Anfechtung eines solchen kantonalen Entscheides vor Bundesgericht zu bejahen. Die übrigen Sachurteilsvoraussetzungen geben zu keinen Bemerkungen Anlass (Art. 82 lit. a, Art. 83 e contrario, Art. 86 Abs. 1 lit. d und Abs. 2 und Art. 100 Abs. 1 BGG ), weshalb auf die Beschwerde der BVK einzutreten ist.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3</w:t>
      </w:r>
    </w:p>
    <w:p>
      <w:r>
        <w:t>Streitig und zu prüfen ist, ob das kantonale Gericht Bundesrecht verletzte, als es die rentenablehnende Verfügung der IV-Stelle bestätigte.</w:t>
      </w:r>
    </w:p>
    <w:p>
      <w:r>
        <w:rPr>
          <w:b/>
        </w:rPr>
        <w:t>E. 4.1</w:t>
      </w:r>
    </w:p>
    <w:p>
      <w:r>
        <w:t>Am 1. Januar 2022 trat das revidierte Bundesgesetz über die Invalidenversicherung (IVG; SR 831.20) in Kraft (Weiterentwicklung der IV [WEIV]; Änderung vom 19. Juni 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4.2</w:t>
      </w:r>
    </w:p>
    <w:p>
      <w:r>
        <w:t>Im angefochtenen Urteil werde die rechtliche Grundlage für den Anspruch auf eine Invalidenrente (Art. 7 f. ATSG), die Annahme eines psychischen Gesundheitsschadens ( BGE 141 V 281 E. 6) sowie zur Bedeutung und Beweiskraft medizinischer Unterlagen ( BGE 125 V 256 E. 4) grundsätzlich zutreffend dargelegt. Darauf wird verwiesen.</w:t>
      </w:r>
    </w:p>
    <w:p>
      <w:r>
        <w:rPr>
          <w:b/>
        </w:rPr>
        <w:t>E. 5.1</w:t>
      </w:r>
    </w:p>
    <w:p>
      <w:r>
        <w:t>Das kantonale Gericht hat in Würdigung der medizinischen Akten den Bericht der RAD-Ärztin, insbesondere jedoch gestützt auf die Stellungnahmen der Dr. med. B.________, FMH Psychiatrie und Psychotherapie, vom 16. März und vom 10. November 2020 für das Bundesgericht grundsätzlich verbindlich festgestellt, dass der Versicherte nicht an einem anspruchserheblichen Gesundheitsschaden litt. Vielmehr war die gut behandelbare Symptomatik deutlich psychosozial überlagert. Keine entscheiderhebliche Bedeutung mass die Vorinstanz demgegenüber dem Bericht des Dr. med. C.________, FMH Psychiatrie und Psychotherapie, vom 22. Juni 2021 zu; die von diesem Arzt gestellte Diagnose einer kombinierten Persönlichkeitsstörung sei von Dr. med. B.________ bereits im "Gutachten" vom 16. März 2020 diskutiert und ausgeschlossen worden.</w:t>
      </w:r>
    </w:p>
    <w:p>
      <w:r>
        <w:rPr>
          <w:b/>
        </w:rPr>
        <w:t>E. 5.2</w:t>
      </w:r>
    </w:p>
    <w:p>
      <w:r>
        <w:t>Bei Dr. med. B.________, auf deren Stellungnahme das kantonale Gericht entscheidwesentlich abgestellt hat, handelt es sich um die Vertrauensärztin der beschwerdeführenden Vorsorgeeinrichtung. Ihren Stellungnahmen, die sie im Rahmen ihrer vertrauensärztlichen Tätigkeit abgegeben hat, kommt daher nicht der gleiche Beweiswert wie einem im Verfahren nach Art. 44 ATSG eingeholten Administrativgutachten zu. Immerhin kann auf solche Berichte versicherungsinterner medizinischer Fachpersonen rechtsprechungsgemäss (abschliessend) abgestellt werden, wenn keine auch nur geringen Zweifel an der Richtigkeit ihrer Schlussfolgerungen bestehen (vgl. BGE 135 V 465 E. 4.7), wobei solche Zweifel insbesondere durch abweichende Stellungnahmen anderer medizinischer Fachpersonen begründet werden können (vgl. Urteil 8C_224/2020 vom 13. Mai 2020 E. 4.3). Auch wenn der Bericht des Dr. med. C.________ vom 22. Juni 2021 nicht ausreicht, die Stellungnahme der Dr. med. B.________, es liege keine Persönlichkeitsstörung vor, zu widerlegen, so genügt er doch, um mindestens geringe Zweifel an der Richtigkeit der Schlussfolgerungen der Vertrauensärztin zu begründen. Diese Zweifel lassen sich auch nicht durch gerichtseigene Mutmassungen, welche Diagnose mehr zu überzeugen vermag, ausräumen. Vielmehr ist bei einer solchen Ausgangslage das Einholen eines Gerichtsgutachtens angezeigt. Entsprechend ist die Beschwerde gutzuheissen, das kantonale Urteil ist aufzuheben und die Sache ist an das kantonale Gericht zurückzuweisen, damit dieses nach Einholen eines psychiatrischen Gerichtsgutachtens über den Versicherten über die Beschwerde der Vorsorgeeinrichtung neu entscheide. Dabei wird sich die psychiatrische Gutachtensperson auch mit dem Umstand auseinanderzusetzen haben, dass die Wiederaufnahme der bisherigen Tätigkeit des Versicherten im November 2020 - auf die Dr. med. B.________ in ihrem letzten Bericht vom 10. November 2020 noch grosse Hoffnung gesetzt hatte - gescheitert ist, weshalb die beschwerdeführende Vorsorgeeinrichtung (nach eigenen Angaben nach Rücksprache mit Dr. med. B.________) dem Versicherten ab Januar 2021 eine Berufsinvalidenrente zugesprochen hat.</w:t>
      </w:r>
    </w:p>
    <w:p>
      <w:r>
        <w:rPr>
          <w:b/>
        </w:rPr>
        <w:t>E. 6</w:t>
      </w:r>
    </w:p>
    <w:p>
      <w:r>
        <w:t>Die Rückweisung der Sache zu erneutem Entscheid mit offenem Ausgang gilt für die Frage der Auferlegung der Gerichtskosten sowie der Parteientschädigung als vollständiges Obsiegen im Sinne von Art. 66 Abs. 1 und Art. 68 Abs. 1 und 2 BGG ( BGE 141 V 281 E. 11.1). Entsprechend sind die Gerichtskosten vollumfänglich der Beschwerdegegnerin aufzuerlegen. Als mit öffentlich-rechtlichen Aufgaben betraute Organisation hat die obsiegende Pensionskasse keinen Anspruch auf Parteientschädigung ( Art. 68 Abs. 3 BGG ; BGE 128 V 124 E. 5b S. 133). Da sich der beigeladene Versicherte nicht vernehmen liess und ihm somit durch das bundesgerichtliche Verfahren kein Aufwand entstanden ist, ist auch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