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9C_69/2009 vom 13. Februar 2009</w:t>
      </w:r>
    </w:p>
    <w:p>
      <w:r>
        <w:t>Bundesgericht, 2009-02-13, DE</w:t>
      </w:r>
    </w:p>
    <w:p>
      <w:r>
        <w:rPr>
          <w:b/>
        </w:rPr>
        <w:t xml:space="preserve">Quelle: </w:t>
      </w:r>
      <w:r>
        <w:t>https://mcp.opencaselaw.ch/entscheid/bger_9C_69_2009</w:t>
      </w:r>
    </w:p>
    <w:p>
      <w:r>
        <w:t>FR: TF 9C_69/2009 du 13 février 2009</w:t>
      </w:r>
    </w:p>
    <w:p>
      <w:r>
        <w:t>IT: TF 9C_69/2009 del 13 febbraio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w:t>
      </w:r>
    </w:p>
    <w:p>
      <w:r>
        <w:rPr>
          <w:b/>
        </w:rPr>
        <w:t>E. 2</w:t>
      </w:r>
    </w:p>
    <w:p>
      <w:r>
        <w:t>Streitig ist, ob die Beschwerdeführerin Anspruch auf eine Rente der Invalidenversicherung hat. Das kantonale Gericht hat die zur Beurteilung des Leistungsanspruchs einschlägigen Rechtsgrundlagen zutreffend dargelegt. Darauf wird verwiesen.</w:t>
      </w:r>
    </w:p>
    <w:p>
      <w:r>
        <w:rPr>
          <w:b/>
        </w:rPr>
        <w:t>E. 3.1</w:t>
      </w:r>
    </w:p>
    <w:p>
      <w:r>
        <w:t>Die am 2. April 2007 erstattete Expertise des Universitätsspitals X.________ beruht auf internistischer, rheumatologischer und psychiatrischer Untersuchung. Das kantonale Gericht führte aus, für die Festlegung der Arbeitsfähigkeit seien dem Gutachten folgend allein die körperlichen Befunde (chronisches zervikales und lumbal betontes Panvertebralsyndrom) massgebend. Eine auf das Rückenleiden Rücksicht nehmende leichte bis mittelschwere, wechselbelastende Tätigkeit sei der Versicherten jedenfalls in einem Umfang von mindestens 80 Prozent zumutbar. Bei einem Vergleich des ohne den Gesundheitsschaden erzielbaren Einkommens (Valideneinkommen) von Fr. 46'303.- mit einem auf statistischem Wege ermittelten Invalideneinkommen (von insoweit Fr. 38'868.-) ergebe sich dergestalt - selbst bei Anwendung des höchstmöglichen leidensbedingten Abzugs von 25 Prozent (Invalideneinkommen: Fr. 29'151.-) ein nicht rentenbegründender Invaliditätsgrad von 37 Prozent.</w:t>
      </w:r>
    </w:p>
    <w:p>
      <w:r>
        <w:rPr>
          <w:b/>
        </w:rPr>
        <w:t>E. 3.2</w:t>
      </w:r>
    </w:p>
    <w:p>
      <w:r>
        <w:t>Die Beschwerdeführerin wendet zunächst ein, nach gutachtlicher Feststellung sei nur ein Teil der dem Leiden angepassten Verweisungstätigkeiten mit einem Pensum von 80 Prozent ausübbar. Eine selektive Heranziehung derjenigen Verweisungstätigkeiten, in welchen die beste Leistungsfähigkeit bestehe, sei unzulässig; vielmehr müsse auf die durchschnittliche Arbeitsfähigkeit in Bezug auf alle in Frage kommenden Verweisungstätigkeiten abgestellt werden. Die Sachverständigen des Universitätsspitals X.________ hielten indessen fest, dass sich die Arbeitsfähigkeit, die in den angestammten Berufen (der Raumpflegerin und Fabrikarbeiterin) 50 Prozent betrage, bezogen auf Verweisungstätigkeiten nur dann auf dieses Ausmass reduziere, wenn die Rahmenbedingungen einer leidensangepassten Arbeit (Vermeiden von Verrichtungen, die eine Zwangshaltung der Hals- und Brustwirbelsäule oder den wiederholten bzw. andauernden Einsatz der Arme "in oder über der Horizontalen" bedingen) nicht eingehalten werden könnten (Gutachten vom 2. April 2007, S. 21). Die erwähnten Einschränkungen sind nicht so beschaffen, dass davon ausgegangen werden müsste, in einem ausgeglichenen Arbeitsmarkt ( Art. 16 ATSG ) seien nicht ausreichend Stellen vorhanden, welche dem gesundheitsschadenbedingten Anforderungsprofil vollständig entsprechen.</w:t>
      </w:r>
    </w:p>
    <w:p>
      <w:r>
        <w:rPr>
          <w:b/>
        </w:rPr>
        <w:t>E. 3.3</w:t>
      </w:r>
    </w:p>
    <w:p>
      <w:r>
        <w:t>Mit Bezug auf die wirtschaftliche Verwertbarkeit der verbliebenen Leistungsfähigkeit werfen die zitierten Vorbringen der Beschwerdeführerin die Frage auf, ob es gerechtfertigt war, dass die Vorinstanzen auf den standardisierten Durchschnittslohn gemäss Tabelle A1 der Schweizerischen Lohnstrukturerhebung (LSE) des Bundesamtes für Statistik für einfache und repetitive Tätigkeiten im gesamten privaten Sektor zurückgegriffen haben. Dies ist zu bejahen. Im Unterschied zu den im Urteil I 253/06 vom 5. Juni 2007 (E. 8) zu beurteilenden Verhältnissen konzentrieren sich die Erwerbsmöglichkeiten der Versicherten nicht auf einen Wirtschaftssektor mit vergleichsweise tiefen Durchschnittslöhnen. Die weiter geltend gemachte Unterdurchschnittlichkeit des - dem Valideneinkommen zugrunde liegenden - angestammten Lohns führt auf Seiten des Invalideneinkommens nicht zu einer Parallelisierung gemäss BGE 134 V 322 , weil der Unterschied zwischen früherem Lohn und statistischem Durchschnittswert (von knapp fünf Prozent) nicht deutlich im Sinne dieser Rechtsprechung ist (vgl. Urteil 9C_404/2007 vom 11. April 2008 E. 2.3, in: SVR 2008 IV Nr. 49 S. 163).</w:t>
      </w:r>
    </w:p>
    <w:p>
      <w:r>
        <w:t>Unbegründet ist schliesslich die Rüge, das kantonale Gericht habe sich nicht ausreichend mit der Frage des Abzugs vom statistisch ermittelten hypothetischen Einkommen aus einer zumutbaren Verweisungstätigkeit auseinandergesetzt; die Verwaltung hatte einen Abzug in Höhe von 15 Prozent vorgenommen. Die Vorinstanz durfte die Höhe der Korrektivs offenlassen, weil selbst bei maximaler Ausschöpfung des zur Verfügung stehenden Spielraums kein anspruchsbegründender Invaliditätsgrad resultierte. Eine Anwendung des Höchstsatzes von 25 Prozent fiele hier allerdings aufgrund der Vorgaben der Rechtsprechung (vgl. BGE 126 V 75 ) ohnehin ausser Betracht.</w:t>
      </w:r>
    </w:p>
    <w:p>
      <w:r>
        <w:rPr>
          <w:b/>
        </w:rPr>
        <w:t>E. 4.1</w:t>
      </w:r>
    </w:p>
    <w:p>
      <w:r>
        <w:t>Dass die Bemessung des Invaliditätsgrades anderweitig nicht korrekt sein sollte, wird nicht geltend gemacht; entsprechende Anhaltspunkte ergeben sich auch nicht aus den Akten. Es besteht somit kein Anlass für eine Weiterung des Prüfungsprogramms (vgl. BGE 110 V 48 E. 4a S. 53). Die vorinstanzliche Schlussfolgerung, der Invaliditätsgrad betrage jedenfalls weniger als 40 Prozent (vgl. Art. 28 Abs. 1 IVG [in der bis Ende 2007 geltenden Fassung]), ist nach dem Gesagten bundesrechtskonform.</w:t>
      </w:r>
    </w:p>
    <w:p>
      <w:r>
        <w:rPr>
          <w:b/>
        </w:rPr>
        <w:t>E. 4.2</w:t>
      </w:r>
    </w:p>
    <w:p>
      <w:r>
        <w:t>Die Beschwerde hatte keine Aussicht auf Erfolg, weshalb sie im vereinfachten Verfahren nach Art. 109 Abs. 2 lit. a BGG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