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698/2019 vom 3. März 2020</w:t>
      </w:r>
    </w:p>
    <w:p>
      <w:r>
        <w:t>Bundesgericht, 2020-03-03, DE</w:t>
      </w:r>
    </w:p>
    <w:p>
      <w:r>
        <w:rPr>
          <w:b/>
        </w:rPr>
        <w:t xml:space="preserve">Quelle: </w:t>
      </w:r>
      <w:r>
        <w:t>https://mcp.opencaselaw.ch/entscheid/bger_9C_698_2019</w:t>
      </w:r>
    </w:p>
    <w:p>
      <w:r>
        <w:t>FR: TF 9C 698/2019 du 3 mars 2020</w:t>
      </w:r>
    </w:p>
    <w:p>
      <w:r>
        <w:t>IT: TF 9C 698/2019 del 3 marzo 2020</w:t>
      </w:r>
    </w:p>
    <w:p>
      <w:pPr>
        <w:pStyle w:val="Heading2"/>
      </w:pPr>
      <w:r>
        <w:t>Regeste</w:t>
      </w:r>
    </w:p>
    <w:p>
      <w:r>
        <w:t>Invalidenversicherung | Invalidenversicherung</w:t>
      </w:r>
    </w:p>
    <w:p>
      <w:pPr>
        <w:pStyle w:val="Heading2"/>
      </w:pPr>
      <w:r>
        <w:t>Erwägungen</w:t>
      </w:r>
    </w:p>
    <w:p>
      <w:r>
        <w:rPr>
          <w:b/>
        </w:rPr>
        <w:t>E. 1.1</w:t>
      </w:r>
    </w:p>
    <w:p>
      <w:r>
        <w:t>Der vom Beschwerdeführer neu eingereichte Bericht des Dr. med. B.________ vom 22. Oktober 2019 ist als echtes Novum von vornherein unzulässig ( Art. 99 Abs. 1 BGG ; BGE 143 V 19 E. 1.2 S. 22 f.; 140 V 543 E. 3.2.2.2 S. 548).</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 Eine Verschlechterung der Erwerbsfähigkeit ist zu berücksichtigen, sobald sie ohne wesentliche Unterbrechung drei Monate gedauert hat ( Art. 88a Abs. 2 IVV [SR 831.201]).</w:t>
      </w:r>
    </w:p>
    <w:p>
      <w:r>
        <w:rPr>
          <w:b/>
        </w:rPr>
        <w:t>E. 3.1</w:t>
      </w:r>
    </w:p>
    <w:p>
      <w:r>
        <w:t>Die Vorinstanz hat den Erlass der Verfügung vom 6. Februar 2008 als massgeblichen Vergleichszeitpunkt erachtet. Gestützt auf die Berichte der behandelnden Ärzte hat sie festgestellt, bis zum 14. März 2018 habe sich der Sachverhalt weder in psychiatrischer noch in somatischer Hinsicht anspruchserheblich verändert. Es leuchte nicht ein, weshalb der behandelnde Psychiater trotz einer von ihm festgestellten schwächeren Ausprägung der depressiven Erkrankung neu von einer vollständigen (statt wie bisher 50 %igen) Arbeitsunfähigkeit ausgehe. Das Hinzutreten der Migräne-Kopfschmerzen und des Schlafapnoe-Syndroms würden für sich allein keine andere Beurteilung der Arbeitsfähigkeit begründen. Mangels eines Revisionsgrundes (vgl. obenstehende E. 2) hat sie den bisherigen Rentenanpruch bestätigt.</w:t>
      </w:r>
    </w:p>
    <w:p>
      <w:r>
        <w:rPr>
          <w:b/>
        </w:rPr>
        <w:t>E. 3.2</w:t>
      </w:r>
    </w:p>
    <w:p>
      <w:r>
        <w:t>Was der Beschwerdeführer dagegen vorbringt, hält nicht stand. Von einer ungenügenden Begründung des angefochtenen Entscheids kann nicht gesprochen werden, da eine sachgerechte Anfechtung möglich war (vgl. BGE 142 III 433 E. 4.3.2 S. 436 mit Hinweisen). Der Versicherte macht sodann zwar Schwankungen hinsichtlich des psychischen Leidens geltend, indessen legt er keine länger als drei Monate dauernde Verschlechterung (vgl. E. 2) substanziiert dar. Er beruft sich darauf, dass er sich vom 23. April bis zum 20. Juni 2019 zur stationären Behandlung in der Klinik C.________ befand. Im entsprechenden Austrittsbericht vom 16. Juli 2019 wurden u.a. eine schwere, gemischte Schlafapnoe und Migräne-Kopfschmerzen festgehalten. Aus diesen Diagnosen ergibt sich aber keine über 50 % hinausgehende Arbeitsunfähigkeit: Der Versicherte gab selber an, lediglich "ca." zwei bis drei Tage im Monat an Migräne zu leiden, und zur Behandlung der Schlafapnoe wurde eine CPAP-Therapie installiert. Ausserdem lässt der genannte Austrittsbericht diesbezüglich keine Rückschlüsse auf den hier massgeblichen Zustand bei Erlass der angefochtenen Verfügung vom 14. März 2018 zu. Es wird nicht substanziiert vorgebracht und ist auch nicht ersichtlich, dass die vorinstanzlichen Feststellungen (E. 3.1) offensichtlich unrichtig (unhaltbar, willkürlich; BGE 140 V 22 E. 7.3.1 S. 39; 135 II 145 E. 8.1 S. 153; vgl. auch BGE 144 V 50 E. 4.2 S. 53 mit Hinweisen) sein sollen. Sie beruhen auch nicht auf einer Rechtsverletzung, weshalb sie für das Bundesgericht verbindlich bleiben (E. 1.2). Somit ist auch der vorinstanzliche Schluss auf einen unveränderten Rentenanspruch bundesrechtskonform.</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