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9C_694/2015 vom 10. November 2015</w:t>
      </w:r>
    </w:p>
    <w:p>
      <w:r>
        <w:t>Bundesgericht, 2015-11-10, DE</w:t>
      </w:r>
    </w:p>
    <w:p>
      <w:r>
        <w:rPr>
          <w:b/>
        </w:rPr>
        <w:t xml:space="preserve">Quelle: </w:t>
      </w:r>
      <w:r>
        <w:t>https://mcp.opencaselaw.ch/entscheid/bger_9C_694_2015</w:t>
      </w:r>
    </w:p>
    <w:p>
      <w:r>
        <w:t>FR: TF 9C_694/2015 du 10 novembre 2015</w:t>
      </w:r>
    </w:p>
    <w:p>
      <w:r>
        <w:t>IT: TF 9C_694/2015 del 10 novembre 2015</w:t>
      </w:r>
    </w:p>
    <w:p>
      <w:pPr>
        <w:pStyle w:val="Heading2"/>
      </w:pPr>
      <w:r>
        <w:t>Erwägungen</w:t>
      </w:r>
    </w:p>
    <w:p>
      <w:r>
        <w:rPr>
          <w:b/>
        </w:rPr>
        <w:t>E. 1</w:t>
      </w:r>
    </w:p>
    <w:p>
      <w:r>
        <w:t>Der angefochtene Entscheid verlegt die Kosten für das Verfahren VBE.2014/38 vor dem kantonalen Versicherungsgericht neu. Dabei handelt es sich um einen Endentscheid nach Art. 90 BGG , da mit dem Urteil 9C_857/2014 vom 21. Mai 2015 über den materiell streitigen Rentenanspruch der Beschwerdegegnerin rechtskräftig entschieden wurde (vgl. Urteile 8C_86/2012 vom 2. Juli 2012 E. 2.3 mit Hinweis auf Urteil 9C_117/2010 vom 23. Juli 2010 E. 2.3).</w:t>
      </w:r>
    </w:p>
    <w:p>
      <w:r>
        <w:t>Parteien des vorliegenden Verfahrens sind dieselben wie im abgeschlossenen (Haupt-) Verfahren. Entgegen der Auffassung der Versicherten ist somit sie und nicht die Vorinstanz Gegenpartei.</w:t>
      </w:r>
    </w:p>
    <w:p>
      <w:r>
        <w:rPr>
          <w:b/>
        </w:rPr>
        <w:t>E. 2</w:t>
      </w:r>
    </w:p>
    <w:p>
      <w:r>
        <w:t>Mit dem Urteil 9C_857/2014 vom 21. Mai 2015 wurde in Aufhebung des Entscheids der Vorinstanz vom 15. Oktober 2014 die auf Art. 61   lit. d ATSG gestützte Schlechterstellung (Verneinung eines Rentenanspruchs überhaupt) aufgehoben und die angefochtene Verfügung vom 13. Dezember 2013 (Zusprechung einer befristeten ganzen Rente) bestätigt. Dies bedeutet, dass die Beschwerdegegnerin im vorangegangenen Verfahren VBE.2014/38 unterlag. Sie hat daher die Verfahrenskosten zu tragen (Art. 69 Abs. 1bis IVG) und sie hat keinen Anspruch auf Ersatz der Parteikosten ( Art. 61 lit. g ATSG ). Der angefochtene Entscheid, der stattdessen von einem teilweisen Obsiegen ausgeht und der Beschwerdeführerin die Verfahrenskosten und Parteikosten auferlegt, verletzt somit Bundesrecht ( Art. 95 lit. a BGG ). Die Beschwerde ist offensichtlich begründet ( Art. 109 Abs. 2 lit. b BGG ).</w:t>
      </w:r>
    </w:p>
    <w:p>
      <w:r>
        <w:rPr>
          <w:b/>
        </w:rPr>
        <w:t>E. 3</w:t>
      </w:r>
    </w:p>
    <w:p>
      <w:r>
        <w:t>Dispositiv-Ziffer 1 des Urteils 9C_857/2014 vom 21. Mai 2015 hebt den Entscheid vom 15. Oktober 2014 integral auf, somit auch im Kosten- und Entschädigungspunkt. Das steht im Widerspruch dazu, dass materiell die vorinstanzlich angefochtene Verfügung bestätigt wurde, was gleichbedeutend ist mit der Abweisung der dagegen erhobenen Beschwerde, und ist daher von Amtes wegen zu berichtigen ( Art. 129 Abs. 1 BGG ).</w:t>
      </w:r>
    </w:p>
    <w:p>
      <w:r>
        <w:rPr>
          <w:b/>
        </w:rPr>
        <w:t>E. 4</w:t>
      </w:r>
    </w:p>
    <w:p>
      <w:r>
        <w:t>Auf die Erhebung von Gerichtskosten ist umständehalber zu verzichten (Art. 66 Abs. 1 zweiter Satz BGG). Es besteht kein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