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9C_694/2009 vom 31. Dezember 2010</w:t>
      </w:r>
    </w:p>
    <w:p>
      <w:r>
        <w:t>Bundesgericht, 2010-12-31, FR</w:t>
      </w:r>
    </w:p>
    <w:p>
      <w:r>
        <w:rPr>
          <w:b/>
        </w:rPr>
        <w:t xml:space="preserve">Quelle: </w:t>
      </w:r>
      <w:r>
        <w:t>https://mcp.opencaselaw.ch/entscheid/bger_9C_694_2009</w:t>
      </w:r>
    </w:p>
    <w:p>
      <w:r>
        <w:t>FR: TF 9C_694/2009 du 31 décembre 2010</w:t>
      </w:r>
    </w:p>
    <w:p>
      <w:r>
        <w:t>IT: TF 9C_694/2009 del 31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recours interjeté par l'assuré devant la juridiction cantonale était dirigé contre la décision litigieuse du 16 août 2005, par laquelle l'OAI a confirmé sa décision du 4 février 2004 refusant à l'assuré l'octroi d'une rente et des mesures professionnelles. Dans son recours, l'assuré a conclu à l'octroi de mesures de réadaptation médicales et au versement d'indemnités journalières. La juridiction cantonale est entrée en matière sur ces conclusions et a octroyé à l'assuré les prestations demandées.</w:t>
      </w:r>
    </w:p>
    <w:p>
      <w:r>
        <w:rPr>
          <w:b/>
        </w:rPr>
        <w:t>E. 2.2</w:t>
      </w:r>
    </w:p>
    <w:p>
      <w:r>
        <w:t>La juridiction cantonale a fixé à 50 % le taux d'incapacité de travail de l'intimé dans son ancienne activité d'aide-concierge ou dans toute activité adaptée depuis le 29 avril 2003. Elle a ensuite retenu que l'opération proposée par l'expert B.________, soit la reprise de l'amputation traumatique du médio-tarse par une arthrodèse tibio-calcanéenne type Boyd ou Pirigoff, associée à un allongement d'Achille et refixation du jambier antérieur sur le squelette osseux, devait être prise en charge par le recourant au titre d'une mesure médicale de réadaptation. Tant le docteur B.________ que les docteurs F.________ et R.________ étaient d'avis que l'opération en cause permettrait à l'intimé d'augmenter sa capacité de travail dans une activité adaptée. L'intervention était raisonnablement exigible de la part de l'assuré, âgé de quarante-cinq ans au moment du jugement.</w:t>
      </w:r>
    </w:p>
    <w:p>
      <w:r>
        <w:rPr>
          <w:b/>
        </w:rPr>
        <w:t>E. 3</w:t>
      </w:r>
    </w:p>
    <w:p>
      <w:r>
        <w:t>Dans un premier grief, l'office recourant reproche à la juridiction cantonale de s'être prononcée sur la question de la prise en charge de l'intervention préconisée par le docteur B.________ alors que la décision litigieuse du 16 août 2005 portait uniquement sur le droit à la rente et à des mesures professionnelles. En statuant sur la prise en charge d'une mesure médicale, la juridiction de première instance avait outrepassé ses compétences.</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La jurisprudence a considéré qu'il en allait de même des rapports juridiques sur lesquels l'autorité administrative ne s'était, à tort (c'est-à-dire en violation de la maxime inquisitoire ou du principe de l'application du droit d'office), pas prononcée alors qu'elle aurait dû le faire (arrêt I 347/00 du 20 août 2002). En revanche, dans la mesure où aucune décision n'a été rendue, la contestation n'a pas d'objet, et un jugement sur le fond ne peut pas être prononcé ( ATF 125 V 413 consid. 1a p. 414).</w:t>
      </w:r>
    </w:p>
    <w:p>
      <w:r>
        <w:t>Selon la jurisprudence, la procédure juridictionnelle du droit des assurances sociales peut être étendue, pour des motifs d'économie de procédure,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 ATF 122 V 34 consid. 2a p. 36 et les références). Les conditions auxquelles un élargissement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particulièrement doit être en état d'être jugée (cf. ULRICH MEYER/ISABEL VON ZWEHL, L'objet du litige en procédure de droit administratif fédéral, in: Mélanges Pierre Moor, 2005, n° 27 p. 446).</w:t>
      </w:r>
    </w:p>
    <w:p>
      <w:r>
        <w:rPr>
          <w:b/>
        </w:rPr>
        <w:t>E. 3.2</w:t>
      </w:r>
    </w:p>
    <w:p>
      <w:r>
        <w:t>En l'espèce, la décision sur opposition du 16 août 2005, comme la décision du 4 février 2004, portaient uniquement sur le droit de l'assuré à une rente d'invalidité et à des mesures de réadaptation professionnelle. Si la question d'une intervention chirurgicale a été brièvement évoquée dans la décision du 16 août 2005, c'est uniquement en rapport avec l'absence d'incidence sur la capacité de travail dans une activité adaptée de l'intimé, considérée comme totale par le recourant. On ne saurait cependant y voir l'expression de ce dernier sur le droit concret de l'intimé à une mesure médicale de réadaptation. En outre, en raison des conditions spécifiques strictes posées par la réglementation et la jurisprudence à l'octroi d'une mesure médicale de réadaptation au sens de l' art. 12 LAI , on ne peut considérer au vu du dossier, qui relève l'absence de démarche concrète de l'intimé quant à une opération ou un autre traitement, que le recourant ne se serait à tort pas prononcé sur une telle mesure dans la décision attaquée et que celle-ci serait comprise dans l'objet de la contestation.</w:t>
      </w:r>
    </w:p>
    <w:p>
      <w:r>
        <w:t>Au vu des avis contradictoires des spécialistes ressortant du dossier, la juridiction cantonale a requis une expertise complémentaire auprès du docteur B.________, laquelle a porté principalement sur la capacité de travail actuelle de l'intimé dans une activité adaptée, sur le caractère exigible de l'intervention préconisée et l'incidence de celle-ci sur la capacité de travail dans une activité adaptée. La mesure d'instruction mise en oeuvre par les premiers juges met en lumière les incertitudes de la juridiction cantonale sur ces trois éléments et, partant, sur le caractère opportun, approprié et efficace de l'intervention. Dès lors, il ne peut être retenu que la question d'une éventuelle mesure médicale de réadaptation au sens de l' art. 12 LAI était en état d'être jugée lorsque les premiers juges ont été saisis du recours contre la décision du 16 août 2005; aussi, ces derniers ne pouvaient-ils étendre leur examen à cette question et leur décision apparaît déjà pour ce motif contraire au droit fédéral.</w:t>
      </w:r>
    </w:p>
    <w:p>
      <w:r>
        <w:rPr>
          <w:b/>
        </w:rPr>
        <w:t>E. 4</w:t>
      </w:r>
    </w:p>
    <w:p>
      <w:r>
        <w:t>Dans un second grief, le recourant fait valoir qu'il ne peut pas prendre en charge l'intervention préconisée, ni à fortiori allouer des indemnités journalières à l'intimé, dès lors que seules les personnes de moins de vingt ans peuvent bénéficier actuellement des mesures médicales de réadaptation.</w:t>
      </w:r>
    </w:p>
    <w:p>
      <w:r>
        <w:rPr>
          <w:b/>
        </w:rPr>
        <w:t>E. 4.1</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 ATF 130 V 445 et les références).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 ATF 119 Ib 103 consid. 5 p. 110 et les références).</w:t>
      </w:r>
    </w:p>
    <w:p>
      <w:r>
        <w:rPr>
          <w:b/>
        </w:rPr>
        <w:t>E. 4.2</w:t>
      </w:r>
    </w:p>
    <w:p>
      <w:r>
        <w:t>En l'espèce, la juridiction cantonale a constaté que la décision litigieuse avait été rendue le 16 août 2005; pour ce motif, elle a considéré que les modifications de la LAI du 6 octobre 2006 (5ème révision de la LAI), entrées en vigueur le 1er janvier 2008, n'étaient pas applicables et elle a condamné le recourant à prendre en charge l'intervention préconisée par le docteur B.________ avec suite d'indemnités journalières.</w:t>
      </w:r>
    </w:p>
    <w:p>
      <w:r>
        <w:t>Les premiers juges ont cependant oublié le caractère particulier de la prestation sur laquelle ils se prononçaient: par l'octroi de mesures médicales, l'assurance-invalidité alloue en principe à l'assuré une prestation en nature, sous la forme, par exemple, d'un traitement ambulatoire. Il ne s'agit pas d'une simple contribution pécuniaire à une mesure de réadaptation choisie par l'invalide. Les mesures médicales sont bien plutôt ordonnées en tant que telles par l'assurance-invalidité, qui dispose à cet égard d'un véritable pouvoir d'instruction, et en supporte aussi les risques dans les limites de l' art. 11 LAI . Il appartient à l'assureur de charger une personne ou un établissement déterminé de l'application des mesures médicales qu'il a ordonnées, lesquels sont alors considérés comme ses agents ou ses organes d'exécution. Les mesures médicales de réadaptation, au sens de l' art. 12 LAI , constituent ainsi des prestations en nature ( art. 14 LPGA ) et même si elles sont en réalité fournies par un tiers, elles sont du point de vue juridique imputées à l'assureur, comme si celui-ci dispensait lui-même les mesures (sur les prestations en nature, cf. ULRICH MEYER, Allgemeine Einführung in: Soziale Sicherheit, SBVR, vol. XIV, 2007, n° 119 s., p. 74 s.). Dès le 1er janvier 2008 (sauf hypothèse de droit transitoire non réalisée en l'espèce), la mesure médicale de réadaptation destinée à un assuré de plus de vingt ans n'existait plus. Prestation en nature, elle ne pouvait plus être fournie par l'assurance, mise en oeuvre par celle-ci ou exécutée pour elle par un tiers. A la date de leur jugement, les premiers juges ne pouvaient plus que constater l'absence d'une telle prestation à charge de l'assurance et leur décision se révèle ainsi contraire au droit fédéral.</w:t>
      </w:r>
    </w:p>
    <w:p>
      <w:r>
        <w:rPr>
          <w:b/>
        </w:rPr>
        <w:t>E. 5</w:t>
      </w:r>
    </w:p>
    <w:p>
      <w:r>
        <w:t>Bien fondé, le recours doit être admis et la décision attaquée annulée. La cause doit être renvoyée à la juridiction cantonale afin qu'elle statue sur le recours formé par l'intimé contre le refus du droit à la rente et aux mesures de réadaptation professionnelle, objets de la décision portés devant elle.</w:t>
      </w:r>
    </w:p>
    <w:p>
      <w:r>
        <w:rPr>
          <w:b/>
        </w:rPr>
        <w:t>E. 6</w:t>
      </w:r>
    </w:p>
    <w:p>
      <w:r>
        <w:t>L'office recourant obtient gain de cause. Vu les circonstances particulières de la cause, le Tribunal fédéral renonce à mettre les frais judiciaires à la charge de l'intimé ( art. 66 al. 1 LTF ) qui ne peut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