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9C_692/2025 vom 18. März 2026</w:t>
      </w:r>
    </w:p>
    <w:p>
      <w:r>
        <w:t>Bundesgericht, 2026-03-18, FR</w:t>
      </w:r>
    </w:p>
    <w:p>
      <w:r>
        <w:rPr>
          <w:b/>
        </w:rPr>
        <w:t xml:space="preserve">Quelle: </w:t>
      </w:r>
      <w:r>
        <w:t>https://mcp.opencaselaw.ch/entscheid/bger_9C_692_2025</w:t>
      </w:r>
    </w:p>
    <w:p>
      <w:r>
        <w:t>FR: TF 9C_692/2025 du 18 mars 2026</w:t>
      </w:r>
    </w:p>
    <w:p>
      <w:r>
        <w:t>IT: TF 9C_692/2025 del 18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 de 500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 droit administratif et public, et à l'Administration fédérale des contributions.</w:t>
      </w:r>
    </w:p>
    <w:p>
      <w:r>
        <w:t>Lucerne, le 18 mars 2026</w:t>
      </w:r>
    </w:p>
    <w:p>
      <w:r>
        <w:t>Au nom de la IIIe Cour de droit public</w:t>
      </w:r>
    </w:p>
    <w:p>
      <w:r>
        <w:t>du Tribunal fédéral suisse</w:t>
      </w:r>
    </w:p>
    <w:p>
      <w:r>
        <w:t>Le Juge unique : Parrino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