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9C_692/2016 vom 30. Januar 2017</w:t>
      </w:r>
    </w:p>
    <w:p>
      <w:r>
        <w:t>Bundesgericht, 2017-01-30, FR</w:t>
      </w:r>
    </w:p>
    <w:p>
      <w:r>
        <w:rPr>
          <w:b/>
        </w:rPr>
        <w:t xml:space="preserve">Quelle: </w:t>
      </w:r>
      <w:r>
        <w:t>https://mcp.opencaselaw.ch/entscheid/bger_9C_692_2016</w:t>
      </w:r>
    </w:p>
    <w:p>
      <w:r>
        <w:t>FR: TF 9C_692/2016 du 30 janvier 2017</w:t>
      </w:r>
    </w:p>
    <w:p>
      <w:r>
        <w:t>IT: TF 9C_692/2016 del 30 gennaio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de l'assurée à une rente de l'assurance-invalidité dans le contexte d'une nouvelle demande de prestations et porte plus particulièrement sur le point de savoir si - par analogie avec l' art. 17 LPGA (cf. art. 87 al. 3 RAI ; cf. aussi ATF 133 V 108 consid. 5 p. 110) - l'état de santé de l'assurée s'est notablement modifié depuis l'entrée en force de la dernière décision et justifie à nouveau l'octroi d'une rente. Le jugement attaqué expose de manière complète les dispositions légales et les principes jurisprudentiels nécessaires à la solution du litige, de telle sorte qu'il suffit d'y renvoyer.</w:t>
      </w:r>
    </w:p>
    <w:p>
      <w:r>
        <w:rPr>
          <w:b/>
        </w:rPr>
        <w:t>E. 3</w:t>
      </w:r>
    </w:p>
    <w:p>
      <w:r>
        <w:t>Au terme de son examen des rapports médicaux au dossier, le tribunal cantonal a constaté que le degré d'invalidité de la recourante ne s'était pas modifié dans une mesure ouvrant le droit aux prestations. Il a fondé son appréciation avant tout sur l'expertise des docteurs G.________ et H.________, à laquelle il a accordé une pleine valeur probante. Les premiers juges ont en particulier apprécié les effets du trouble somatoforme douloureux dont souffre l'assurée au regard des indicateurs posés par la nouvelle jurisprudence du Tribunal fédéral en la matière ( ATF 141 V 281 ) et conclu que l'atteinte n'était pas invalidante. Ils ont enfin procédé au calcul du taux d'invalidité (13 %), lequel était insuffisant pour ouvrir le droit à une rente de l'assurance-invalidité.</w:t>
      </w:r>
    </w:p>
    <w:p>
      <w:r>
        <w:rPr>
          <w:b/>
        </w:rPr>
        <w:t>E. 4.1</w:t>
      </w:r>
    </w:p>
    <w:p>
      <w:r>
        <w:t>Dans un grief de nature formelle qu'il convient d'examiner en premier lieu (cf. ATF 138 I 232 consid. 5.1 p. 237), la recourante fait d'abord valoir que l'expertise a été réalisée en violation de son droit d'être entendue ( art. 29 al. 2 Cst. ), dès lors que l'office intimé n'aurait pas tenu compte de son avis quant au choix de l'expert et la juridiction cantonale n'aurait pas expliqué les raisons pour lesquelles elle écartait l'avis de la doctoresse D.________.</w:t>
      </w:r>
    </w:p>
    <w:p>
      <w:r>
        <w:rPr>
          <w:b/>
        </w:rPr>
        <w:t>E. 4.2</w:t>
      </w:r>
    </w:p>
    <w:p>
      <w:r>
        <w:t>Le grief n'est pas fondé. Par communication du 3 mars 2014, l'office intimé a invité l'assurée à se prononcer sur le choix de l'expert et à lui soumettre des questions supplémentaires. La recourante a fait usage de cette possibilité par courrier du 13 mars 2004 (11/1/99), dans lequel elle a demandé que les experts tiennent également compte du syndrome de Saethre-Chotzen; l'office a transmis cette requête aux experts. Après avoir reçu copie du rapport d'expertise, la recourante a pu se prononcer sur son contenu, ainsi que sur le projet de décision de l'autorité intimée. Elle a été invitée en outre à poser des questions supplémentaires aux experts, auxquelles la doctoresse G.________ a répondu par courrier du 23 décembre 2014. L'experte a maintenu ses conclusions et indiqué que l'assurée était porteuse de la mutation génétique à la source du syndrome de Saethre-Chotzen, mais sans en être elle-même atteinte, de sorte qu'il n'y avait aucun élément nouveau concernant l'état de santé de la recourante. L'autorité intimée a donc respecté les droits procéduraux de l'assurée (cf. art. 44 LPGA ). En particulier, elle a transmis les questions ou déterminations reçues de celle-ci aux experts, qui en ont dûment tenu compte dans leurs conclusions. On relève que le droit d'être entendu ne permettrait pas en revanche à la recourante d'imposer à l'administration le choix d'un autre expert ou la mise en oeuvre d'une contre-expertise, au seul motif qu'elle ne partage pas l'avis des premiers experts (cf. ATF 137 V 210 consid. 2.1 p. 229 ss).</w:t>
      </w:r>
    </w:p>
    <w:p>
      <w:r>
        <w:t>Enfin, la juridiction cantonale a exposé les raisons pour lesquelles elle se ralliait à l'expertise des docteurs G.________ et H.________, à laquelle elle a reconnu une pleine valeur probante, écartait l'avis de la doctoresse D.________ et rejetait la requête de seconde expertise soumise par la recourante. Les reproches de l'assurée s'agissant de la motivation du jugement attaqué doivent donc également être écartés.</w:t>
      </w:r>
    </w:p>
    <w:p>
      <w:r>
        <w:rPr>
          <w:b/>
        </w:rPr>
        <w:t>E. 5.1</w:t>
      </w:r>
    </w:p>
    <w:p>
      <w:r>
        <w:t>Sur le fond, la recourante conteste la valeur probante de l'expertise réalisée par les docteurs G.________ et H.________. Elle soutient en substance que les experts ne disposaient pas des compétences pour se prononcer valablement sur le syndrome de Saethre-Chotzen, dont elle serait atteinte, et aurait omis de tenir compte de certains éléments.</w:t>
      </w:r>
    </w:p>
    <w:p>
      <w:r>
        <w:rPr>
          <w:b/>
        </w:rPr>
        <w:t>E. 5.2</w:t>
      </w:r>
    </w:p>
    <w:p>
      <w:r>
        <w:t>Le grief est sans fondement. En réponse aux questions de la recourante, la doctoresse G.________ a précisé que celle-ci était certes porteuse de la mutation génétique, mais sans être elle-même atteinte du syndrome de Saethre-Chotzen. L'experte a donc nié toute influence négative du diagnostic invoqué sur la capacité de travail et maintenu ses conclusions. La juridiction cantonale s'est ralliée à cet avis, qui n'est contredit par aucune pièce du dossier, et a relevé qu'il était également partagé par le Service médical régional de l'assurance-invalidité; de même, la doctoresse F.________ avait certes mentionné le syndrome de Saethre-Chotzen dans l'un de ses rapports, mais pour conclure qu'il était sans répercussion sur la capacité de travail de sa patiente.</w:t>
      </w:r>
    </w:p>
    <w:p>
      <w:r>
        <w:t>La recourante ne parvient pas à remettre en cause cette appréciation. Elle se contente de reproduire en substance les griefs qu'elle avait déjà soulevés devant l'autorité intimée et la juridiction cantonale, sans discuter de manière précise les raisons qui ont conduit les juges à suivre les conclusions de l'expertise, plutôt que l'avis des médecins traitants. Elle soutient par exemple que son état de santé n'était pas représentatif lorsqu'elle a rencontré les experts, qu'elle est très limitée dans son quotidien et rencontre des difficultés particulières pour accomplir ses tâches ménagères. Ces affirmations ne reposent toutefois sur aucun élément objectif du dossier et ne suffisent pas à remettre en cause les conclusions des docteurs H.________ et G.________, ni, partant, à démontrer le caractère insoutenable de l'appréciation des juges.</w:t>
      </w:r>
    </w:p>
    <w:p>
      <w:r>
        <w:t>Il en va de même des reproches de la recourante quant au caractère adapté de l'activité d'assistante médicale et aux possibilités thérapeutiques à sa disposition. Là encore, la recourante ne fait valoir aucun élément précis et objectif qui étayerait sa version des faits et ne se réfère à aucune pièce du dossier ou constatation de l'autorité précédente. Elle ne démontre pas en quoi l'appréciation des premiers juges serait insoutenable et échoue donc à démontrer l'arbitraire du jugement attaqué (cf. ATF 141 III 564 consid. 4.1 p. 566 et les références).</w:t>
      </w:r>
    </w:p>
    <w:p>
      <w:r>
        <w:rPr>
          <w:b/>
        </w:rPr>
        <w:t>E. 5.3</w:t>
      </w:r>
    </w:p>
    <w:p>
      <w:r>
        <w:t>Pour le reste, la recourante ne remet pas en cause le taux d'invalidité calculé par la juridiction cantonale en application de la méthode mixte d'évaluation (cf. arrêt 9F_8/2016 du 20 décembre 2016 prévu pour la publication). Il n'y a dès lors pas lieu de se prononcer plus avant sur ce point (cf. art. 106 al. 2 LTF ), étant précisé que le résultat au regard de la méthode ordinaire ( art. 16 LPGA ) ne lui serait pas plus favorable.</w:t>
      </w:r>
    </w:p>
    <w:p>
      <w:r>
        <w:rPr>
          <w:b/>
        </w:rPr>
        <w:t>E. 6</w:t>
      </w:r>
    </w:p>
    <w:p>
      <w:r>
        <w:t>Vu l'issue du litige, 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