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9C_692/2014 vom 22. Januar 2015</w:t>
      </w:r>
    </w:p>
    <w:p>
      <w:r>
        <w:t>Bundesgericht, 2015-01-22, DE</w:t>
      </w:r>
    </w:p>
    <w:p>
      <w:r>
        <w:rPr>
          <w:b/>
        </w:rPr>
        <w:t xml:space="preserve">Quelle: </w:t>
      </w:r>
      <w:r>
        <w:t>https://mcp.opencaselaw.ch/entscheid/bger_9C_692_2014</w:t>
      </w:r>
    </w:p>
    <w:p>
      <w:r>
        <w:t>FR: TF 9C_692/2014 du 22 janvier 2015</w:t>
      </w:r>
    </w:p>
    <w:p>
      <w:r>
        <w:t>IT: TF 9C_692/2014 del 22 gennaio 2015</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(SR 830.1) Rechtsfragen.</w:t>
      </w:r>
    </w:p>
    <w:p>
      <w:r>
        <w:rPr>
          <w:b/>
        </w:rPr>
        <w:t>E. 2</w:t>
      </w:r>
    </w:p>
    <w:p>
      <w:r>
        <w:t>Die IV-Stelle kann nach Art. 53 Abs. 2 ATSG in Verbindung mit Art. 1 Abs. 1 IVG auf formell rechtskräftige Verfügungen zurückkommen, wenn diese zweifellos unrichtig sind und ihre Berichtigung von erheblicher Bedeutung ist. Unter diesen Voraussetzungen kann die Verwaltung eine Rentenverfügung auch dann abändern, wenn die Revisionserfordernisse des Art. 17 Abs. 1 ATSG nicht erfüllt sind. Die Wiedererwägung dient der Korrektur einer anfänglich unrichtigen Rechtsanwendung einschliesslich unrichtiger Tatsachenfeststellung im Sinne der Sachverhaltswürdigung (Ulrich Meyer, Die Abänderung formell rechtskräftiger Verwaltungsverfügungen in der Sozialversicherung, in: Ausgewählte Schriften, 2013, S. 117 ff., 130 f.). Das Erfordernis der zweifellosen Unrichtigkeit ist in der Regel erfüllt, wenn eine Leistungszusprechung aufgrund falsch oder unzutreffend verstandener Rechtsregeln erfolgt ist oder wenn massgebliche Bestimmungen nicht oder unrichtig angewandt wurden ( BGE 140 V 77 E. 3.1 S. 79). Zweifellos unrichtig ist die Verfügung auch, wenn ihr ein unhaltbarer Sachverhalt zugrunde gelegt wurde, insbesondere, wenn eine klare Verletzung des Untersuchungsgrundsatzes zu einem unvollständigen Sachverhalt führte (vgl. Art. 43 Abs. 1 ATSG ; Urteil 8C_736/2014 vom 29. November 2014 E. 2.1).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 328; Urteil 9C_125/2013 vom 12. Februar 2014 E. 4.1 mit Hinweisen, nicht publ. in: BGE 140 V 15 , aber in: SVR 2014 IV Nr. 10 S. 39).</w:t>
      </w:r>
    </w:p>
    <w:p>
      <w:r>
        <w:rPr>
          <w:b/>
        </w:rPr>
        <w:t>E. 3</w:t>
      </w:r>
    </w:p>
    <w:p>
      <w:r>
        <w:t>Zu prüfen ist die Zulässigkeit der wiedererwägungsweisen Aufhebung der ab 1. September 2006 zugesprochenen ganzen Invalidenrente. Streitig ist dabei die zweifellose Unrichtigkeit der Verfügung vom 18. April 2007.</w:t>
      </w:r>
    </w:p>
    <w:p>
      <w:r>
        <w:rPr>
          <w:b/>
        </w:rPr>
        <w:t>E. 3.1</w:t>
      </w:r>
    </w:p>
    <w:p>
      <w:r>
        <w:t>Das kantonale Gericht begründete die zweifellose Unrichtigkeit dieser Verfügung im Wesentlichen mit einer Verletzung des Untersuchungsgrundsatzes. So sei der Bericht der Klinik B.________ vom 23. September 2005, auf den sich die IV-Stelle bei der Rentenverfügung vom 18. April 2007 gestützt habe, in keiner Weise geeignet, die für die Invaliditätsbemessung notwendige dauernde Arbeitsunfähigkeit der Beschwerdeführerin zu belegen. Im Rahmen der Würdigung der aktuellen medizinischen Akten erwog die Vorinstanz weiter, es könne auf das MEDAS-Gutachten vom 11. Februar 2013 und die darin attestierte volle Arbeitsfähigkeit in leidensangepasster Tätigkeit abgestellt werden. Zudem seien den seither ergangenen Berichten keine wesentlichen neuen Befunde zu entnehmen, welche auf eine relevante Verschlechterung des Gesundheitszustands seit der Begutachtung bei der MEDAS schliessen liessen.</w:t>
      </w:r>
    </w:p>
    <w:p>
      <w:r>
        <w:rPr>
          <w:b/>
        </w:rPr>
        <w:t>E. 3.2</w:t>
      </w:r>
    </w:p>
    <w:p>
      <w:r>
        <w:t>Die Rügen der Beschwerdeführerin vermögen an der Richtigkeit der vorinstanzlichen Feststellungen nichts zu ändern. So wird in der Beschwerde nicht dargelegt, inwiefern der kantonale Entscheid Bundesrecht verletzt. Im Wesentlichen erschöpfen sich die Einwände der Beschwerdeführerin im Argument, die auf die medizinischen Berichte von Klinik B.________ und RAD gestützte ursprüngliche Beurteilung der Arbeitsunfähigkeit stelle einen Ermessensentscheid dar, welcher nicht als zweifellos unrichtig zu betrachten sei. Damit verkennt die Beschwerdeführerin, dass die der Wiedererwägung zugrunde liegende zweifellose Unrichtigkeit aus der unvollständigen Sachverhaltsabklärung resultiert. So attestierte der Chefarzt der Klinik B.________, Dr. C.________, im Bericht vom 23. September 2005 zwar eine Arbeitsunfähigkeit von 75 %, dies jedoch zeitlich begrenzt vom 20. September bis zum 30. November 2005. Andere Einschätzungen der Arbeitsfähigkeit lagen nicht vor. Insbesondere erschöpfen sich die diesbezüglichen hausärztlichen Angaben von med. pract. D.________ in den Berichten vom 19. Oktober 2005 und vom 24. September 2006 in blossen Verweisen auf die genannte Einschätzung von Dr. C.________.</w:t>
      </w:r>
    </w:p>
    <w:p>
      <w:r>
        <w:rPr>
          <w:b/>
        </w:rPr>
        <w:t>E. 3.3</w:t>
      </w:r>
    </w:p>
    <w:p>
      <w:r>
        <w:t>Wie das kantonale Gericht zu Recht feststellte, fehlte es damit im Zeitpunkt der Verfügung vom 18. April 2007 an einer aussagekräftigen ärztlichen Stellungnahme zur Arbeitsfähigkeit für den Zeitraum ab Anfang Dezember 2005. Eine solche vermag auch der RAD-Bericht vom 26. Oktober 2006 nicht zu ersetzen. Interne Berichte des RAD haben eine andere Funktion als medizinische Gutachten ( Art. 44 ATSG ) oder Untersuchungsberichte des RAD im Sinne von Art. 49 Abs. 2 IVV (SR 831.201). Sie erheben nicht selber medizinische Befunde, sondern setzen sich mit den vorhandenen auseinander.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(SVR 2009 IV Nr. 50 S. 153, 8C_756/2008 E. 4.4). Im vorliegenden Fall lagen im Zeitpunkt der Stellungnahme des RAD vom 26. Oktober 2006 keine Aussagen zur Arbeitsfähigkeit ab Anfang Dezember 2005 vor, zu welchen sich der RAD im Rahmen seiner Würdigung überhaupt hätte äussern können. Der RAD wäre in Ermangelung entsprechender medizinischer Akten vielmehr gehalten gewesen, zusätzliche Abklärungen zu empfehlen.</w:t>
      </w:r>
    </w:p>
    <w:p>
      <w:r>
        <w:rPr>
          <w:b/>
        </w:rPr>
        <w:t>E. 3.4</w:t>
      </w:r>
    </w:p>
    <w:p>
      <w:r>
        <w:t>Indem die IV-Stelle trotz fehlender ärztlicher Einschätzung zur Arbeitsfähigkeit ab Anfang Dezember 2005 auf weitere Abklärungen verzichtete, verletzte sie den Untersuchungsgrundsatz. In Anbetracht dessen ist die Vorinstanz zu Recht von der zweifellosen Unrichtigkeit der Verfügung vom 18. April 2007 ausgegangen (vgl. E. 2 hievor); dass deren Berichtigung von erheblicher Bedeutung ist - was auf periodische Dauerleistungen regelmässig zutrifft ( BGE 140 V 85 E. 4.4 S. 87 f.) - wird von der Beschwerdeführerin zu Recht nicht bestritten.</w:t>
      </w:r>
    </w:p>
    <w:p>
      <w:r>
        <w:rPr>
          <w:b/>
        </w:rPr>
        <w:t>E. 4</w:t>
      </w:r>
    </w:p>
    <w:p>
      <w:r>
        <w:t>Das kantonale Gericht hat unter Hinweis auf die Rechtsprechung zutreffend festgehalten, dass es sich bei zweifelloser Unrichtigkeit der ursprünglichen Rentenverfügung infolge Verletzung des Untersuchungsgrundsatzes erübrigt, den damals rechtserheblichen Sachverhalt weiter abzuklären und auf dieser nunmehr hinreichenden tatsächlichen Grundlage den Invaliditätsgrad zu ermitteln. Abgesehen davon, dass einen weiter zurückliegenden Zeitraum betreffende Abklärungen häufig keine verwertbaren Ergebnisse zu liefern vermögen, geht es im Kontext darum, mit Wirkung ex tunc et pro futuro einen rechtskonformen Zustand herzustellen (Urteil 9C_19/2008 vom 29. April 2008 E. 2.1).</w:t>
      </w:r>
    </w:p>
    <w:p>
      <w:r>
        <w:t>Die Vorinstanz gelangte nach Würdigung der medizinischen Aktenlage zutreffend zum Schluss, dem MEDAS-Gutachten vom 11. Februar 2013 sei voller Beweiswert beizumessen, und es sei gestützt darauf von einer vollen Arbeitsfähigkeit in angepasster Tätigkeit auszugehen. Die Beschwerdeführerin erhebt weder gegen die vorinstanzliche Würdigung der medizinischen Aktenlage noch gegen den vorgenommenen Einkommensvergleich konkrete Einwände. Damit hat es mit der wiedererwägungsweisen Aufhebung der Invalidenrente in Anwendung von Art. 53 Abs. 2 ATSG sein Bewenden.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