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9C_68/2017 vom 18. April 2017</w:t>
      </w:r>
    </w:p>
    <w:p>
      <w:r>
        <w:t>Bundesgericht, 2017-04-18, FR</w:t>
      </w:r>
    </w:p>
    <w:p>
      <w:r>
        <w:rPr>
          <w:b/>
        </w:rPr>
        <w:t xml:space="preserve">Quelle: </w:t>
      </w:r>
      <w:r>
        <w:t>https://mcp.opencaselaw.ch/entscheid/bger_9C_68_2017</w:t>
      </w:r>
    </w:p>
    <w:p>
      <w:r>
        <w:t>FR: TF 9C_68/2017 du 18 avril 2017</w:t>
      </w:r>
    </w:p>
    <w:p>
      <w:r>
        <w:t>IT: TF 9C_68/2017 del 18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à la suppression, à partir du 1</w:t>
      </w:r>
    </w:p>
    <w:p>
      <w:r>
        <w:t>er mai 2015, par voie de révision au sens de l' art. 17 LPGA , de la demi-rente allouée au recourant. Il porte plus particulièrement sur la question de savoir si son état de santé s'est amélioré de manière à influencer la capacité de gain et donc le taux d'invalidité dans une mesure justifiant la suppression du droit à la rente.</w:t>
      </w:r>
    </w:p>
    <w:p>
      <w:r>
        <w:t>Le jugement attaqué expose de manière complète les dispositions légales et les principes jurisprudentiels nécessaires à la solution du litige, de telle sorte qu'il suffit d'y renvoyer.</w:t>
      </w:r>
    </w:p>
    <w:p>
      <w:r>
        <w:rPr>
          <w:b/>
        </w:rPr>
        <w:t>E. 3</w:t>
      </w:r>
    </w:p>
    <w:p>
      <w:r>
        <w:t>La juridiction cantonale a comparé la situation déterminante lors de l'octroi de la demi-rente, allouée depuis octobre 2003 à la suite d'une reprise partielle d'activité, et celle qui prévalait au moment de la décision attaquée. Sur le plan psychique, elle a retenu que le rapport d'expertise du docteur G.________ avait pleine valeur probante et permettait d'admettre une capacité de travail entière depuis le 1</w:t>
      </w:r>
    </w:p>
    <w:p>
      <w:r>
        <w:t>er septembre 2014; elle a écarté les avis contraires du docteur D.________, dès lors que seuls certains de ses rapports faisaient état de troubles psychiques, sans précision, et de la doctoresse H.________, qui ne posait aucun diagnostic, n'avait pas effectué de tests et ne motivait pas ce qui l'amenait à retenir une incapacité totale de travail. Pour ce qui concerne les aspects somatiques, l'autorité cantonale a relevé que le dossier médical faisait état d'un certain nombre de diagnostics, sans que ceux-ci aient joué un rôle déterminant lors de l'octroi de la rente en 1997 ou de sa révision en 2003. L'expertise du docteur E.________ avait en outre conclu à une pleine capacité de travail sur le plan somatique. Les éléments mis en lumière lors des stages effectués au sein du centre F.________ en 2013 et 2015 ne démontraient pas une aggravation de l'état de santé de l'intéressé par rapport à cette expertise et étaient liés à des problèmes connus de longue date. Compte tenu de ces éléments, la cour cantonale a conclu que l'assuré disposait d'une capacité de travail entière dans une activité adaptée, ce qui conduisait à retenir une capacité de gain insuffisante pour maintenir le droit à une demi-rente.</w:t>
      </w:r>
    </w:p>
    <w:p>
      <w:r>
        <w:rPr>
          <w:b/>
        </w:rPr>
        <w:t>E. 4.1</w:t>
      </w:r>
    </w:p>
    <w:p>
      <w:r>
        <w:t>Dans un premier grief qu'il tire de l'établissement manifestement inexact des faits et de la violation de la maxime inquisitoire ( art. 61 let . c LPGA), le recourant reproche à la juridiction cantonale d'avoir reconnu une pleine valeur probante au rapport d'expertise du docteur G.________, malgré les critiques qu'il avait émises à son encontre.</w:t>
      </w:r>
    </w:p>
    <w:p>
      <w:r>
        <w:rPr>
          <w:b/>
        </w:rPr>
        <w:t>E. 4.2</w:t>
      </w:r>
    </w:p>
    <w:p>
      <w:r>
        <w:t>Dans la mesure où le recourant renvoie aux arguments développés devant l'instance cantonale, le grief ne répond pas aux exigences de l' art. 42 al. 2 LTF (cf. ATF 113 Ib 287 consid. 1 p. 288). Pour le reste, l'assuré se réfère de manière générale à l'avis contraire de ses médecins traitants ou à certains passages de l'expertise, sans mettre toutefois en évidence des éléments cliniques ou diagnostiques concrets et objectifs qui auraient été ignorés par l'expert et seraient suffisamment pertinents pour faire apparaître comme arbitraire l'appréciation des premiers juges. En particulier, on ne voit pas en quoi le fait que l'expert se soit référé au statut marital de l'assuré ou à son projet d'effectuer un stage auprès de la police suffirait à diminuer la force probante de ses conclusions; le recourant ne l'explique nullement. Au demeurant, comme l'a retenu à juste titre la juridiction cantonale, l'expert a dûment motivé son avis, fondé sur une anamnèse et un examen complet du dossier ainsi que sur les plaintes du recourant, et expliqué pourquoi il ne retenait plus les atteintes d'ordre psychiatrique qu'avaient constatées les docteurs B.________ et C.________ en 1997.</w:t>
      </w:r>
    </w:p>
    <w:p>
      <w:r>
        <w:rPr>
          <w:b/>
        </w:rPr>
        <w:t>E. 4.3.1</w:t>
      </w:r>
    </w:p>
    <w:p>
      <w:r>
        <w:t>Le recourant conteste également que les rapports de la doctoresse H.________ n'aient pas été suffisamment complets pour avoir force probante, comme l'a retenu le tribunal cantonal.</w:t>
      </w:r>
    </w:p>
    <w:p>
      <w:r>
        <w:rPr>
          <w:b/>
        </w:rPr>
        <w:t>E. 4.3.2</w:t>
      </w:r>
    </w:p>
    <w:p>
      <w:r>
        <w:t>On relèvera d'abord que, alors que la doctoresse H.________ suit le recourant depuis octobre 2014 et que la procédure devant le tribunal cantonal a duré environ huit mois, l'urgence ne saurait expliquer pourquoi ce médecin s'est prononcé seulement de manière brève dans son unique rapport, daté du 29 juin 2015. La juridiction cantonale a relevé correctement que le médecin y décrivait les plaintes de son patient ainsi que certains symptômes, mais sans poser de diagnostic, en particulier sur le plan psychique, et sans expliquer ce qui l'amenait à retenir une incapacité totale de travail (sur les exigences de la jurisprudence en matière de force probante des rapports médicaux, cf. ATF 125 V 351 consid. 3b p. 352 ss). Dans ces circonstances, elle pouvait sans arbitraire considérer que cet avis ne suffisait pas à remettre en cause les conclusions de l'expert G.________.</w:t>
      </w:r>
    </w:p>
    <w:p>
      <w:r>
        <w:t>Par ailleurs, la seule existence d'avis médicaux contradictoires ne suffit pas à justifier la mise en oeuvre d'une expertise judiciaire. On rappellera que le tribunal peut en effet renoncer à accomplir certains actes d'instruction sans que cela n'entraîne une violation du droit d'être entendu ou du devoir d'administrer les preuves nécessaires ( art. 61 let . c LPGA) s'il est convaincu que certains faits présentent un degré de vraisemblance prépondérante et que d'autres mesures probatoires ne pourraient plus modifier cette appréciation ( ATF 131 I 153 consid. 3 p. 157). En l'espèce, les premiers juges ont apprécié consciencieusement la valeur respective des documents médicaux au dossier pour déterminer si ceux-ci leur permettaient de se former une conviction et ont conclu qu'une expertise n'était pas nécessaire parce que les éléments en leur possession démontraient de manière convaincante que l'assuré disposait d'une capacité de travail entière. Le recourant ne discute pas de manière précise les motifs qui ont conduit les premiers juges à préférer l'avis des experts à celui du médecin traitant et ne démontre pas qu'ils auraient fait preuve d'arbitraire dans cette appréciation.</w:t>
      </w:r>
    </w:p>
    <w:p>
      <w:r>
        <w:rPr>
          <w:b/>
        </w:rPr>
        <w:t>E. 4.4.1</w:t>
      </w:r>
    </w:p>
    <w:p>
      <w:r>
        <w:t>Dans un autre grief, le recourant affirme que le tribunal cantonal aurait omis d'apprécier le contenu des rapports du centre F.________ dans la mesure où ceux-ci faisaient non seulement état d'une problématique somatique, mais aussi de sa fragilité psychique. Les responsables du centre auraient ainsi constaté que malgré les efforts qu'il avait fournis, la santé du recourant s'était dégradée, en particulier lors du second stage effectué en 2015, et que la poursuite de cette mesure était impossible. Selon le recourant, le tribunal cantonal ne pouvait ignorer ces éléments; ceux-ci auraient dû le conduire à ordonner une expertise judiciaire, laquelle aurait permis de faire le lien entre l'état somatique du recourant et ses troubles psychiques.</w:t>
      </w:r>
    </w:p>
    <w:p>
      <w:r>
        <w:rPr>
          <w:b/>
        </w:rPr>
        <w:t>E. 4.4.2</w:t>
      </w:r>
    </w:p>
    <w:p>
      <w:r>
        <w:t>Comme le relève le recourant, les renseignements recueillis à l'occasion d'un stage professionnel sont pertinents pour apprécier la capacité de travail d'un assuré, doivent être appréciés par le juge et, lorsqu'ils divergent des appréciations médicales au dossier, peuvent justifier un complément d'instruction (cf. arrêt 9C_512/2013 du 16 janvier 2014 consid. 5.2.1 et les arrêts cités). En l'espèce, les responsables du centre F.________ ont certes souligné qu'ils percevaient l'assuré comme psychologiquement très fragile, que celui-ci avait exprimé des idées noires et que son manque de résistance psychique expliquait aussi ses performances insuffisantes (rapport du 16 juillet 2015, p. 2 et 6). Ces éléments ne démontrent toutefois pas l'existence de symptômes psychiatriques justifiant une réduction de la capacité de travail et ressortaient en outre également de l'expertise du docteur G.________ en lien avec un épisode dépressif récurrent, dont la sévérité avait varié dans le temps (cf. ég. rapport du Service médical régional de l'assurance-invalidité du 2 décembre 2015). Dans ces circonstances, la juridiction cantonale n'a pas fait preuve d'arbitraire en renonçant à ordonner une expertise psychiatrique judiciaire (sur l'appréciation anticipée des preuves, cf. supra 4.3.2).</w:t>
      </w:r>
    </w:p>
    <w:p>
      <w:r>
        <w:rPr>
          <w:b/>
        </w:rPr>
        <w:t>E. 5</w:t>
      </w:r>
    </w:p>
    <w:p>
      <w:r>
        <w:t>Le recourant voit ses conclusions rejetées, de sorte qu'il doit en principe supporter les frais de justice et ses propres dépens (art. 66 al. 1 et 68 al. 1 LTF). Il a toutefois déposé une demande d'assistance judiciaire limitée aux frais de justice. Dès lors que les conditions d'octroi en sont réalisées, il convient de lui accorder l'assistance judiciaire dans la mesure requise ( art. 64 al. 1 et 2 LTF ). Le recourant est toutefois rendu attentif au fait qu'il devra rembourser la caisse du Tribunal fédéral s'il se trouve ultérieurement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