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689/2019 vom 20. Dezember 2019</w:t>
      </w:r>
    </w:p>
    <w:p>
      <w:r>
        <w:t>Bundesgericht, 2019-12-20, DE</w:t>
      </w:r>
    </w:p>
    <w:p>
      <w:r>
        <w:rPr>
          <w:b/>
        </w:rPr>
        <w:t xml:space="preserve">Quelle: </w:t>
      </w:r>
      <w:r>
        <w:t>https://mcp.opencaselaw.ch/entscheid/bger_9C_689_2019</w:t>
      </w:r>
    </w:p>
    <w:p>
      <w:r>
        <w:t>FR: TF 9C 689/2019 du 20 décembre 2019</w:t>
      </w:r>
    </w:p>
    <w:p>
      <w:r>
        <w:t>IT: TF 9C 689/2019 del 20 dicembre 2019</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2 BGG ), doch prüft es, unter Berücksichtigung der allgemeinen Rüge- und Begründungspflicht ( Art. 42 Abs. 1 und 2 BGG ), nur die geltend gemachten Vorbringen, falls allfällige weitere rechtliche Mängel nicht geradezu offensichtlich sind ( BGE 141 V 234 E. 1 S. 236).</w:t>
      </w:r>
    </w:p>
    <w:p>
      <w:r>
        <w:rPr>
          <w:b/>
        </w:rPr>
        <w:t>E. 2.1</w:t>
      </w:r>
    </w:p>
    <w:p>
      <w:r>
        <w:t>Streitig und zu prüfen ist einzig, ob das kantonale Gericht Bundesrecht verletzt hat, indem es dem Beschwerdegegner - entgegen der Verfügung der Beschwerdeführerin vom 11. Dezember 2017 - von Januar bis Juli 2015 eine Dreiviertelsrente und von August 2015 bis und mit November 2016 eine halbe Invalidenrente gewährte. Hingegen kann das polydisziplinäre medexperts-Gutachten vom 23. Februar 2017 (inkl. psychiatrischem Teilgutachten) unbestritten als massgebliche Beweisgrundlage herangezogen werden, nachdem das kantonale Gericht die entsprechenden Beweisanforderungen zu Recht als erfüllt angesehen hat (vgl. BGE 134 V 231 E. 5.1 S. 232; 125 V 351 E. 3a S. 352).</w:t>
      </w:r>
    </w:p>
    <w:p>
      <w:r>
        <w:rPr>
          <w:b/>
        </w:rPr>
        <w:t>E. 2.2</w:t>
      </w:r>
    </w:p>
    <w:p>
      <w:r>
        <w:t>Die Vorinstanz hat erwogen, mit Blick auf die vom psychiatrischen medexperts-Gutachter Dr. med. B.________ angenommene 70%ige Arbeitsfähigkeit in der angestammten Tätigkeit als Informatiker liege der Invaliditätsgrad des Versicherten ab 1. September 2016 bei nicht rentenbegründenden 30 %. In Anbetracht der retrospektiven Einschätzung des medizinisch-psychiatrischen Sachverständigen, wonach ab Januar 2014 eine vollständige und von August bis Dezember 2014 eine 80%ige Arbeitsunfähigkeit bestanden habe, falle der frühestmögliche Rentenbeginn auf Januar 2015. Ab diesem Zeitpunkt sei der Versicherte gemäss psychiatrischer Expertise bis Ende April 2015 zu 60 % und von Mai 2015 bis und mit August 2016 zu 50 % arbeitsunfähig gewesen. Unter Berücksichtigung des Art. 88a Abs. 1 IVV bestehe somit von Januar bis Juli 2015 Anspruch auf eine Dreiviertelsrente und von August 2015 bis und mit November 2016 Anspruch auf eine halbe Rente der Invalidenversicherung. Dass der Versicherte ab Februar 2015 bis August 2016 verschiedene Massnahmen nach Art. 14a IVG absolviert habe, hindere den Rentenanspruch nicht, weil dieser gemäss Art. 22 Abs. 5ter IVG dem Taggeldbezug vorgehe.</w:t>
      </w:r>
    </w:p>
    <w:p>
      <w:r>
        <w:rPr>
          <w:b/>
        </w:rPr>
        <w:t>E. 3.1</w:t>
      </w:r>
    </w:p>
    <w:p>
      <w:r>
        <w:t>Wie die Beschwerdeführerin zutreffend vorbringt, sind Rentenleistungen erst dann auszurichten, wenn keine zumutbaren Eingliederungsmassnahmen mehr in Betracht fallen (statt vieler: Urteil 9C_108/2012 vom 5. Juni 2012 E. 2.2.1 mit Hinweisen). Der in der Invalidenversicherung geltende Grundsatz "Eingliederung vor Rente" bewirkt, dass die Rente hinter einer Eingliederungsmassnahme bzw. dem damit verbundenen Taggeld zurücktritt (so Art. 28 Abs. 1 lit. a IVG ). Ein Rentenanspruch kann erst nach Beendigung der Eingliederungsmassnahmen entstehen, und zwar selbst dann, wenn diese nur einen Teilerfolg brachten oder scheiterten. Vor diesem Zeitpunkt ist eine Invalidenrente, gegebenenfalls auch rückwirkend, nur zuzusprechen, wenn die versicherte Person nicht oder noch nicht eingliederungsfähig ist (Urteil 9C_450/2019 vom 14. November 2019 E. 3.3.1 mit Hinweis auf BGE 121 V 190 E. 4c, d und e S. 192 ff.).</w:t>
      </w:r>
    </w:p>
    <w:p>
      <w:r>
        <w:rPr>
          <w:b/>
        </w:rPr>
        <w:t>E. 3.2</w:t>
      </w:r>
    </w:p>
    <w:p>
      <w:r>
        <w:t>Es steht fest, dass der Beschwerdegegner ab Februar 2015 bis August 2016 verschiedene Integrationsmassnahmen zur Vorbereitung auf die berufliche Eingliederung im Sinne von Art. 14a IVG in Anspruch nahm, wofür ihm Taggelder ausgerichtet wurden. Dass gemäss retrospektiver Einschätzung des psychiatrischen medexperts-Gutachters Dr. med. B.________ nach Ablauf des Wartejahres (vgl. Art. 28 Abs. 1 lit. b und c IVG ) im Januar 2015 zunächst eine 40%ige und ab Mai 2015 bis und mit August 2016 eine 50%ige Arbeitsfähigkeit bestand, wird von keiner Seite in Abrede gestellt. Damit war der Beschwerdegegner aus medizinischer Sicht eingliederungsfähig, sodass ein Rentenanspruch für diesen Zeitraum ohne Weiteres ausser Betracht fällt (vgl. Art. 29 Abs. 2 IVG ). Daran ändert Art. 22 Abs. 5ter IVG nichts: Nach dem klaren Wortlaut dieser Bestimmung richtet die Versicherung zusätzlich zur Rente ("en plus de la rente", "oltre alla rendita") ein Taggeld aus, falls die versicherte Person infolge der Durchführung einer Massnahme einen Erwerbsausfall erleidet oder das Taggeld einer anderen Versicherung verliert. Da der Beschwerdegegner vor und während der Taggeldausrichtung jedoch keine Invalidenrente bezog, ist Art. 22 Abs. 5ter IVG - wie im Übrigen auch Art. 22 Abs. 5bis IVG , worauf die Beschwerdeführerin zu Recht hinweist - nicht anwendbar. Soweit sind die beschwerdeweise erhobenen Einwände begründet.</w:t>
      </w:r>
    </w:p>
    <w:p>
      <w:r>
        <w:rPr>
          <w:b/>
        </w:rPr>
        <w:t>E. 3.3</w:t>
      </w:r>
    </w:p>
    <w:p>
      <w:r>
        <w:t>Indessen lässt die Beschwerdeführerin ausser Acht, dass der Beschwerdegegner nicht bis Ende August 2016, sondern lediglich bis zum Abschluss des Arbeitstrainings am 3. August 2016 Taggelder bezog (vgl. Taggeldverfügung vom 5. Februar 2016; Schlussbericht über das Arbeitstraining vom 5. August 2016). Folglich fällt der Zeitpunkt des Rentenbeginns nach dem Gesagten auf den 4. August 2016 (vgl. Art. 29 Abs. 2 IVG ). Wird die Rente gemäss Art. 29 Abs. 3 IVG vom Beginn des Monats an ausbezahlt, in dem der Rentenanspruch entsteht, so ergibt sich in concreto ein solcher ab 1. August 2016. Die von der Vorinstanz bis am 31. August 2016 auf eine halbe Invalidenrente festgelegte Rentenhöhe wird weder seitens der Beschwerdeführerin noch vernehmlassungsweise (substanziiert) bestritten. Damit hat es sein Bewenden (vgl. Art. 107 Abs. 1 BGG ).</w:t>
      </w:r>
    </w:p>
    <w:p>
      <w:r>
        <w:rPr>
          <w:b/>
        </w:rPr>
        <w:t>E. 4</w:t>
      </w:r>
    </w:p>
    <w:p>
      <w:r>
        <w:t>Mit dem Entscheid in der Sache ist das Gesuch der Beschwerdeführerin um aufschiebende Wirkung der Beschwerde gegenstandslos.</w:t>
      </w:r>
    </w:p>
    <w:p>
      <w:r>
        <w:rPr>
          <w:b/>
        </w:rPr>
        <w:t>E. 5</w:t>
      </w:r>
    </w:p>
    <w:p>
      <w:r>
        <w:t>Auf die Erhebung von Gerichtskosten zu Lasten des Beschwerdegegners wird umständehalber verzichtet ( Art. 66 Abs. 1 Satz 2 BGG ). Die Beschwerdeführerin hat keinen Anspruch auf eine Parteientschädigung ( Art. 68 Abs. 3 BGG ). Eine Rückweisung an die Vorinstanz zur Neuverlegung der Gerichtskosten erübrigt sich aufgrund des geringfügigen Obsiegens des Beschwerdegegners.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