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689/2016 vom 12. Mai 2017</w:t>
      </w:r>
    </w:p>
    <w:p>
      <w:r>
        <w:t>Bundesgericht, 2017-05-12, FR</w:t>
      </w:r>
    </w:p>
    <w:p>
      <w:r>
        <w:rPr>
          <w:b/>
        </w:rPr>
        <w:t xml:space="preserve">Quelle: </w:t>
      </w:r>
      <w:r>
        <w:t>https://mcp.opencaselaw.ch/entscheid/bger_9C_689_2016</w:t>
      </w:r>
    </w:p>
    <w:p>
      <w:r>
        <w:t>FR: TF 9C 689/2016 du 12 mai 2017</w:t>
      </w:r>
    </w:p>
    <w:p>
      <w:r>
        <w:t>IT: TF 9C 689/2016 del 12 maggio 2017</w:t>
      </w:r>
    </w:p>
    <w:p>
      <w:pPr>
        <w:pStyle w:val="Heading2"/>
      </w:pPr>
      <w:r>
        <w:t>Regeste</w:t>
      </w:r>
    </w:p>
    <w:p>
      <w:r>
        <w:t>Assurance-invalidité (révision) | Assurance-invalidité</w:t>
      </w:r>
    </w:p>
    <w:p>
      <w:pPr>
        <w:pStyle w:val="Heading2"/>
      </w:pPr>
      <w:r>
        <w:t>Erwägungen</w:t>
      </w:r>
    </w:p>
    <w:p>
      <w:r>
        <w:rPr>
          <w:b/>
        </w:rPr>
        <w:t>E. 1</w:t>
      </w:r>
    </w:p>
    <w:p>
      <w:r>
        <w:t>Bien qu'avec le dispositif du jugement entrepris, à son ch. 3, le Tribunal cantonal renvoie la cause à l'office intimé, il ne s'agit pas d'une décision incidente au sens de l' art. 93 LTF . Selon les considérants auxquels renvoie le ch. 3 du dispositif, la juridiction cantonale a statué définitivement sur le droit aux prestations en cause et la restitution des prestations versées indûment: l'assuré a droit à un quart de rente du 1 er mars 2013 au 31 mars 2014 et doit restituer les rentes d'invalidité ordinaires et complémentaires indûment perçues entre le 1 er mars 2013 et le 30 novembre 2014. Le renvoi de la cause ne vise que la fixation des prestations et du montant à restituer en conséquence. Le recours est dès lors recevable puisqu'il est dirigé contre un jugement final ( art. 90 LTF ; ATF 134 II 124 consid. 1.3 p. 127).</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Par exception à ce principe, il ne peut entrer en matière sur la violation d'un droit fondamental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Les conclusions du recourant ne sont pas claires: il demande l'annulation du "point 1 concernant la cause S1 15 3 (refus de rente d'invalidité et restitution de prestations) ", alors que la procédure mentionnée porte uniquement sur la suspension du versement de la rente. Par ailleurs, s'il conclut au maintien des rentes complémentaires en faveur de ses enfants et à ce qu'il ne soit pas tenu de restituer les prestations réclamées, le recourant ne prend pas de conclusion précise sur le droit à la rente. Quoi qu'il en soit, au regard de la motivation du recours concernant la suppression de la rente d'invalidité et comme le droit aux rentes complémentaires suppose le maintien du droit à la rente principale, le litige peut être circonscrit à la suppression du quart de rente d'invalidité à partir du 1er avril 2014 et à l'obligation de restitution des prestations indûment perçues prononcée en conséquence. Le jugement entrepris expose de manière complète les dispositions légales et la jurisprudence applicables en l'occurrence. Il suffit d'y renvoyer.</w:t>
      </w:r>
    </w:p>
    <w:p>
      <w:r>
        <w:rPr>
          <w:b/>
        </w:rPr>
        <w:t>E. 3.2</w:t>
      </w:r>
    </w:p>
    <w:p>
      <w:r>
        <w:t>Dans son recours, l'assuré indique ne pas contester la surveillance en soi mais "sa force probante", en ce sens que les conclusions qui en ont été tirées par la juridiction cantonale seraient des "spéculations". Ce faisant, le recourant ne soulève aucun grief relatif à une violation des art. 6 et 8 CEDH . Son courrier du 20 octobre 2016, par lequel il a transmis à la Cour de céans une copie de l'arrêt de la Cour européenne des droits de l'Homme (CEDH) Vukota-Bojic contre Suisse du 18 octobre 2016, en l'invitant à "prendre en considération cet arrêt", ne correspond pas à une motivation suffisante au regard des exigences de l' art. 106 al. 2 LTF , indépendamment de l'échéance du délai de recours antérieurement à l'écriture supplémentaire. Aussi, il n'y a pas lieu de se prononcer sur la portée de l'arrêt de la CEDH dans la présente cause.</w:t>
      </w:r>
    </w:p>
    <w:p>
      <w:r>
        <w:rPr>
          <w:b/>
        </w:rPr>
        <w:t>E. 4.1</w:t>
      </w:r>
    </w:p>
    <w:p>
      <w:r>
        <w:t>Contestant être capable de travailler à plein temps, le recourant critique l'appréciation des rapports de surveillance. En tant qu'il reproche aux docteurs B.________ et C.________ d'avoir procédé à un "examen de sa mimique sans auscultation personnelle", son grief n'est pas pertinent. On rappellera en effet que si une observation menée par un détective privé n'apporte qu'une perception indirecte de la capacité de travail effective et que seule une évaluation par un médecin du matériel d'observation peut apporter une connaissance certaine des faits pertinents ( ATF 137 I 327 consid. 7.1 p. 337; arrêt 8C_434/2011 du 8 décembre 2011 consid. 4.2), l'évaluation du médecin peut se faire sur la base du résultat des mesures de surveillance, sans qu'il soit nécessaire d'ordonner dans tous les cas une expertise médicale. Il appartient en effet à l'assureur social ou au juge d'apprécier la portée du produit d'une surveillance, conformément au principe de la libre appréciation des preuves (arrêt 8C_779/2012 du 25 juin 2013 consid. 2.3. En l'occurrence, le recourant n'explique pas en quoi le tribunal cantonal aurait violé ce principe en se fondant sur les conclusions des docteurs B.________ et C.________ qui ont choisi de ne pas faire examiner à nouveau l'assuré par un médecin en motivant dûment ce choix. A cet égard, le docteur C.________ avait indiqué dans son rapport du 12 septembre 2014 que "les observations faites lors des surveillances de mars 2014 et d'août 2014 sont si claires que le bilan médical avec consilium rhumatologique et évaluation en ateliers professionnels [...] est devenu sans objet et qu'il est inutile d'effectuer un examen clinique SMR ou une expertise médicale".</w:t>
      </w:r>
    </w:p>
    <w:p>
      <w:r>
        <w:rPr>
          <w:b/>
        </w:rPr>
        <w:t>E. 4.2</w:t>
      </w:r>
    </w:p>
    <w:p>
      <w:r>
        <w:t>A l'inverse de ce que prétend le recourant, les médecins du SMR ne se sont pas fondés uniquement sur l'examen de la mimique de l'assuré pour conclure à une capacité totale de travail mais sur des éléments concrets; ils ont constaté que lors d'une observation menée durant 5 jours entre septembre 2013 et février 2014 puis de mesures de surveillance en mars (3 jours), avril (3 jours) et août (3 jours) 2014, le recourant avait démontré être notamment en mesure de tirer des tuyaux, marcher en terrain accidenté, monter et descendre sur un échafaudage, porter sur une courte distance un compresseur d'un poids de 40 kg environ ainsi que des planches de coffrage, effectuer des journées de plus de six heures parfois suivies d'une partie de pétanque en fin de journée. Le recourant n'explique pas en quoi l'appréciation qu'a faite la juridiction cantonale de ces éléments serait arbitraire, de sorte qu'il n'y a pas lieu de s'en écarter.</w:t>
      </w:r>
    </w:p>
    <w:p>
      <w:r>
        <w:rPr>
          <w:b/>
        </w:rPr>
        <w:t>E. 4.3</w:t>
      </w:r>
    </w:p>
    <w:p>
      <w:r>
        <w:t>Par ailleurs, au vu du nombre de surveillances effectuées (14 jours au total) et du fait que les trois dernières phases de surveillances se sont chaque fois étendues sur trois journées entières consécutives, l'assuré ne saurait être suivi non plus lorsqu'il allègue que la durée de la surveillance était "négligeable", que le détective ne l'avait pas observé durant une journée entière ou que le résultat des observations menées ne serait pas représentatif.</w:t>
      </w:r>
    </w:p>
    <w:p>
      <w:r>
        <w:rPr>
          <w:b/>
        </w:rPr>
        <w:t>E. 4.4</w:t>
      </w:r>
    </w:p>
    <w:p>
      <w:r>
        <w:t>Enfin, c'est en vain que le recourant invoque l'avis de son médecin traitant produit en instance cantonale (rapport du docteur D.________ du 13 avril 2015). En dehors de la critique selon laquelle "... avec des vidéos, on ne fait de status rhumatologique ni de bilan fonctionnel du rachis!", le rapport du praticien ne comporte aucune analyse ou prise de position motivée sur les conclusions des docteurs B.________ et C.________. Cette argumentation est insuffisante pour remettre celles-ci en cause.</w:t>
      </w:r>
    </w:p>
    <w:p>
      <w:r>
        <w:rPr>
          <w:b/>
        </w:rPr>
        <w:t>E. 5</w:t>
      </w:r>
    </w:p>
    <w:p>
      <w:r>
        <w:t>Au vu de ce qui précède, l'argumentation du recourant ne suffit pas à faire apparaître l'appréciation des premiers juges comme arbitraire ou autrement contraire au droit. Pour le reste, le recours ne contient aucune motivation relative à l'obligation de restituer admise par la juridiction cantonale. Il n'y a pas lieu d'examiner ce point plus avant. Partant, le recours est mal fondé.</w:t>
      </w:r>
    </w:p>
    <w:p>
      <w:r>
        <w:rPr>
          <w:b/>
        </w:rPr>
        <w:t>E. 6</w:t>
      </w:r>
    </w:p>
    <w:p>
      <w:r>
        <w:t>Vu l'issue du litige, les frais judiciaires sont mis à la charge du recourant (art. 66 al.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