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689/2012 vom 6. Juni 2013</w:t>
      </w:r>
    </w:p>
    <w:p>
      <w:r>
        <w:t>Bundesgericht, 2013-06-06, FR</w:t>
      </w:r>
    </w:p>
    <w:p>
      <w:r>
        <w:rPr>
          <w:b/>
        </w:rPr>
        <w:t xml:space="preserve">Quelle: </w:t>
      </w:r>
      <w:r>
        <w:t>https://mcp.opencaselaw.ch/entscheid/bger_9C_689_2012</w:t>
      </w:r>
    </w:p>
    <w:p>
      <w:r>
        <w:t>FR: TF 9C 689/2012 du 6 juin 2013</w:t>
      </w:r>
    </w:p>
    <w:p>
      <w:r>
        <w:t>IT: TF 9C 689/2012 del 6 giugno 2013</w:t>
      </w:r>
    </w:p>
    <w:p>
      <w:pPr>
        <w:pStyle w:val="Heading2"/>
      </w:pPr>
      <w:r>
        <w:t>Regeste</w:t>
      </w:r>
    </w:p>
    <w:p>
      <w:r>
        <w:t>Assurance-invalidité | Assurance-invalidité</w:t>
      </w:r>
    </w:p>
    <w:p>
      <w:pPr>
        <w:pStyle w:val="Heading2"/>
      </w:pPr>
      <w:r>
        <w:t>Erwägungen</w:t>
      </w:r>
    </w:p>
    <w:p>
      <w:r>
        <w:rPr>
          <w:b/>
        </w:rPr>
        <w:t>E. 1.1</w:t>
      </w:r>
    </w:p>
    <w:p>
      <w:r>
        <w:t>Le Tribunal fédéral examine d'office la recevabilité des recours qui lui sont soumis ( ATF 135 III 1 consid. 1.1 p. 3; 134 V 138 consid. 1 p. 140).</w:t>
      </w:r>
    </w:p>
    <w:p>
      <w:r>
        <w:rPr>
          <w:b/>
        </w:rPr>
        <w:t>E. 1.2</w:t>
      </w:r>
    </w:p>
    <w:p>
      <w:r>
        <w:t>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Suivant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rPr>
          <w:b/>
        </w:rPr>
        <w:t>E. 2.1</w:t>
      </w:r>
    </w:p>
    <w:p>
      <w:r>
        <w:t>Selon l' art. 43 LPGA ,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 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D'après l' art. 44 LPGA ,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 ATF 137 V 210 consid. 3.4.2.6 p. 256).</w:t>
      </w:r>
    </w:p>
    <w:p>
      <w:r>
        <w:rPr>
          <w:b/>
        </w:rPr>
        <w:t>E. 2.2</w:t>
      </w:r>
    </w:p>
    <w:p>
      <w:r>
        <w:t>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 ATF 132 V 93 consid. 7.1 p. 109 et l'arrêt cité; arrêt 9C_519/2011 du 5 avril 2012 consid. 3.1).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 ATF 126 I 68 consid. 3c p. 73, 125 II 541 consid. 4 p. 544). Le fait que l'expert a déjà eu à se prononcer au cours d'une procédure dans laquelle une des parties était impliquée n'exclut pas sa nomination en qualité d'expert ( ATF 132 V 93 consid. 7.2.2 p. 110). La jurisprudence exige cependant que l'issue de la cause ne soit pas prédéterminée, mais qu'elle demeure au contraire indécise quant à la constatation des faits et à la résolution des questions juridiques (116 Ia 135 consid. 3b p. 139, 126 I 168 consid. 2a p. 169; Jacques Olivier Piguet, Le choix de l'expert et sa récusation, HAVE/REAS 2/2011 p. 133).</w:t>
      </w:r>
    </w:p>
    <w:p>
      <w:r>
        <w:rPr>
          <w:b/>
        </w:rPr>
        <w:t>E. 2.3</w:t>
      </w:r>
    </w:p>
    <w:p>
      <w:r>
        <w:t>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 ATF 132 V 93 consid. 6.5 p. 108). Les jugements cantonaux et du Tribunal administratif fédéral sur des recours contre des décisions des offices AI concernant la mise en oeuvre d'expertises médicales ne sont pas susceptibles d'être déférés au Tribunal fédéral, conformément à l' art. 93 al. 1 let. a LTF , à moins que des motifs de récusation de nature formelle aient été tranchés ( ATF 138 V 271 ), ce qui est le cas en l'espèce.</w:t>
      </w:r>
    </w:p>
    <w:p>
      <w:r>
        <w:rPr>
          <w:b/>
        </w:rPr>
        <w:t>E. 3</w:t>
      </w:r>
    </w:p>
    <w:p>
      <w:r>
        <w:t>En se référant à la jurisprudence ( ATF 132 V 93 consid. 7.2 p. 110), les premiers juges ont rappelé que le seul fait qu'un médecin avait déjà réalisé une première expertise à un stade antérieur de la procédure administrative n'excluait pas d'emblée sa désignation pour la réalisation d'une nouvelle expertise ou d'un complément d'expertise. En revanche, les juges cantonaux ont considéré, en citant l' ATF 125 II 541 consid. 4 p. 544 et JACQUES OLIVIER PIGUET (op. cit., p. 133), qu'un médecin qui avait déjà travaillé en qualité d'expert privé pour le compte d'une partie ou d'un tiers apparaissait comme prévenu, en tout cas s'il avait déjà pris position sur le complexe de faits sur lequel devait porter l'expertise à réaliser. A cet égard, la juridiction cantonale s'est référée à un jugement qu'elle avait rendu le 23 avril 2012 (CASSO AI 230/11 - 144/2012), dans lequel elle avait admis qu'un assuré pouvait en principe s'opposer à la désignation, comme expert au sens de l' art. 44 LPGA , d'un médecin qui avait été précédemment consulté par l'assurance-maladie collective en cas de perte de gain, dans le contexte d'un litige de droit privé relatif à des prestations fondées sur une assurance soumise à la LCA. Dans la présente affaire, les juges cantonaux ont considéré qu'il n'existait aucun motif de déroger à ce principe, car les garanties relatives à l'impartialité de l'expert lors de sa première désignation étaient nettement insuffisantes pour qu'il puisse être désigné à nouveau dans la procédure administrative. Le tribunal a dès lors admis le recours.</w:t>
      </w:r>
    </w:p>
    <w:p>
      <w:r>
        <w:rPr>
          <w:b/>
        </w:rPr>
        <w:t>E. 4.1</w:t>
      </w:r>
    </w:p>
    <w:p>
      <w:r>
        <w:t>Dans le recours qu'elle avait dirigé contre la décision incidente du 25 novembre 2011, l'intimée avait uniquement reproché au docteur E.________ de n'avoir pas tenu compte, dans son expertise du 9 janvier 2007, de la pathologie somatique complexe dont elle souffre (maladie de Lyme et intoxication au mercure). Elle faisait ainsi grief à l'expert d'avoir eu une idée préconçue de l'affaire en ce sens que sa pathologie serait une pure pathologie psychique, savoir un état dépressif majeur de gravité légère à moyenne et une personnalité à traits histrioniques décompensée (ch. 2.3 pp. 6 et 7). Ce moyen est toutefois dénué de pertinence dans le cadre de l'examen du grief d'apparence de prévention. En effet, contrairement à ce que l'intimée avait soutenu, il n'appartenait pas au docteur E.________ de se prononcer sur l'existence d'éventuels troubles somatiques et leur incidence sur la capacité de travail, dans l'expertise du 9 janvier 2007, pas plus qu'il ne devrait être appelé à le faire à l'occasion de la mise en oeuvre d'une nouvelle expertise, car ce médecin est spécialiste en psychiatrie et psychothérapie. Le docteur E.________ l'avait du reste indiqué, dans son rapport du 9 janvier 2007 (p. 16), où il précisait que le diagnostic d'ordre somatique " nihil " (Axe III, pathologie somatique) était mentionné à titre indicatif, sur la base du dossier médical, car il sortait de son champ de compétences. Dès lors que le docteur E.________ n'avait pas pris position sur le volet somatique du dossier, les motifs de récusation d'ordre formel invoqués et développés à ce titre, devant la juridiction cantonale, étaient infondés.</w:t>
      </w:r>
    </w:p>
    <w:p>
      <w:r>
        <w:rPr>
          <w:b/>
        </w:rPr>
        <w:t>E. 4.2</w:t>
      </w:r>
    </w:p>
    <w:p>
      <w:r>
        <w:t>Pour le surplus, on ne saurait admettre que les garanties relatives à l'impartialité du docteur E.________ seraient nettement insuffisantes par le seul fait que ce médecin avait été désigné en qualité d'expert par un assureur perte de gain soumis à la LCA, en 2006, en dehors de la procédure de l' art. 44 LPGA . En effet, l'intimée et les premiers juges n'ont mis aucun élément objectif en évidence qui permettrait d'admettre que l'expert aurait pris position au sujet de certaines questions, dans son rapport du 9 janvier 2007, de manière telle qu'il ne semble aujourd'hui plus exempt de préjugés (cf. consid. 2.2 supra). A cet égard, les avis médicaux établis en mars 2013 que l'intimée produit avec sa réponse sont non seulement irrecevables ( art. 99 al. 1 LTF ), mais n'abordent de toute manière pas cette question. L'éventualité que le docteur E.________ puisse avoir une opinion préconçue de la situation médicale doit ainsi être écartée, à défaut de vraisemblance, de sorte que sa récusation était, à ce titre également, infondée. Sur ce point, le recours sera admis.</w:t>
      </w:r>
    </w:p>
    <w:p>
      <w:r>
        <w:rPr>
          <w:b/>
        </w:rPr>
        <w:t>E. 5.1</w:t>
      </w:r>
    </w:p>
    <w:p>
      <w:r>
        <w:t>Le recourant reproche aussi au Tribunal cantonal de lui avoir renvoyé le dossier afin de mettre une expertise pluridisciplinaire en oeuvre (ch. III du dispositif du jugement attaqué). A son avis, les premiers juges ont outrepassé l'objet du litige.</w:t>
      </w:r>
    </w:p>
    <w:p>
      <w:r>
        <w:rPr>
          <w:b/>
        </w:rPr>
        <w:t>E. 5.2</w:t>
      </w:r>
    </w:p>
    <w:p>
      <w:r>
        <w:t>Dans la mesure où il renvoie la cause à l'administration pour complément d'instruction, l'acte attaqué constitue une décision incidente au sens de l' art. 93 LTF (cf. ATF 133 V 477 consid. 4.2 p. 481). Un tel renvoi n'est en principe pas de nature à causer aux parties un dommage irréparable et ne se confond en général pas avec une procédure probatoire longue et coûteuse (cf. ATF 133 V 477 consid. 5.2 p. 483; arrêt 9C_919/2012 du 22 novembre 2012 et les arrêts cités). En l'espèce, les conditions de l' art. 93 al. 1 let. a et b LTF ne sont manifestement pas remplies, si bien que le recours est irrecevable dans la mesure où il est dirigé contre le ch. III du dispositif du jugement attaqué.</w:t>
      </w:r>
    </w:p>
    <w:p>
      <w:r>
        <w:rPr>
          <w:b/>
        </w:rPr>
        <w:t>E. 6</w:t>
      </w:r>
    </w:p>
    <w:p>
      <w:r>
        <w:t>Vu l'issue du litige, les frais de la procédure seront répartis entre les parties ( art. 66 al. 1 LTF ). Le recourant versera une indemnité réduite de dépens à l'intimée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