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689/2007 vom 4. Dezember 2007</w:t>
      </w:r>
    </w:p>
    <w:p>
      <w:r>
        <w:t>Bundesgericht, 2007-12-04, DE</w:t>
      </w:r>
    </w:p>
    <w:p>
      <w:r>
        <w:rPr>
          <w:b/>
        </w:rPr>
        <w:t xml:space="preserve">Quelle: </w:t>
      </w:r>
      <w:r>
        <w:t>https://mcp.opencaselaw.ch/entscheid/bger_9C_689_2007</w:t>
      </w:r>
    </w:p>
    <w:p>
      <w:r>
        <w:t>FR: TF 9C 689/2007 du 4 décembre 2007</w:t>
      </w:r>
    </w:p>
    <w:p>
      <w:r>
        <w:t>IT: TF 9C 689/2007 del 4 dicembre 2007</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2.1</w:t>
      </w:r>
    </w:p>
    <w:p>
      <w:r>
        <w:t>Das kantonale Gericht hat in pflichtgemässer Würdigung der gesamten Aktenlage - im Wesentlichen gestützt auf das Gutachten des Dr. med. M.________, Facharzt für Physikalische Medizin und Rehabilitation, Spital X.________, vom 11. August 2005, worin ein chronisches lumbospondylogenes Schmerzsyndrom (ICD-10 M54.4) sowie eine Schmerzausweitung diagnostiziert wurden - mit nachvollziehbarer Begründung erkannt, dass der Versicherte in einer leidensadaptierten Tätigkeit (körperlich leichte, rückenangepasste Arbeit mit der Möglichkeit, sich zu bewegen) zu 50 % arbeits(un)fähig ist.</w:t>
      </w:r>
    </w:p>
    <w:p>
      <w:r>
        <w:rPr>
          <w:b/>
        </w:rPr>
        <w:t>E. 2.2</w:t>
      </w:r>
    </w:p>
    <w:p>
      <w:r>
        <w:t>An dieser Betrachtungsweise vermögen die Vorbringen in der Beschwerde nichts zu ändern. Im Lichte der eingeschränkten Sachverhaltskognition (Art. 97 Abs. 1 sowie Art. 105 Abs. 1 und 2 BGG ) kann insbesondere dahingestellt bleiben, ob der (von einer fehlenden Eingliederungsfähigkeit ausgehende) Abklärungsbericht der arwo, Arbeiten und Wohnen, Stiftung für Behinderte, Wettingen, vom 13. Dezember 2004 die Schlussfolgerungen des kantonalen Gerichts in Zweifel zu ziehen und weitere Abklärungen zu rechtfertigen vermöchte, zumal es sich, wie die Vorinstanz korrekt festgestellt hat, bei den Verfassern des Abklärungsberichts nicht um (Fach-)Ärzte handelt und daher nicht zu beanstanden ist, dass für die Bemessung der medizinisch-theoretischen Arbeits(un)fähigkeit im vorliegenden Fall nicht auf ihre Einschätzung abgestellt wurde. Offensichtlich unrichtig ist die vorinstanzliche Tatsachenfeststellung jedenfalls nicht (E. 1).</w:t>
      </w:r>
    </w:p>
    <w:p>
      <w:r>
        <w:rPr>
          <w:b/>
        </w:rPr>
        <w:t>E. 3</w:t>
      </w:r>
    </w:p>
    <w:p>
      <w:r>
        <w:t>Neben den Einwänden gegen die vorinstanzlich ermittelte Arbeitsunfähigkeit macht der Versicherte eine Verletzung des rechtlichen Gehörs geltend mit der Begründung, die IV-Stelle habe ihm vor Erlass des Einspracheentscheids vom 3. März 2006 keine Einsicht in das Gutachten des Dr. med. M.________ gewährt. Er habe daher keine Gelegenheit gehabt, dazu Stellung zu nehmen und allfällige Ergänzungsfragen vorzutragen. Zwar liegt hier (entgegen der vorinstanzlichen Betrachtungsweise) tatsächlich eine Gehörsverletzung vor, die aber rechtsprechungsgemäss geheilt werden kann, wenn der Versicherte die Möglichkeit erhält, sich vor einer Beschwerdeinstanz zu äussern, die sowohl den Sachverhalt wie die Rechtslage frei überprüfen kann ( BGE 127 V 431 E. 3d/aa S. 437, 126 I 68 E. 2 S. 71, 126 V 130 E. 2b S. 132 mit Hinweisen). Da sich der Beschwerdeführer im kantonalen Verfahren zum Gutachten äussern konnte und sich die Vorinstanz damit auseinandersetzte, wurde die Gehörsverletzung der Verwaltung geheilt (so zuletzt Urteil I 509/06 vom 17. April 2007).</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