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9C_687/2009 vom 19. März 2010</w:t>
      </w:r>
    </w:p>
    <w:p>
      <w:r>
        <w:t>Bundesgericht, 2010-03-19, DE</w:t>
      </w:r>
    </w:p>
    <w:p>
      <w:r>
        <w:rPr>
          <w:b/>
        </w:rPr>
        <w:t xml:space="preserve">Quelle: </w:t>
      </w:r>
      <w:r>
        <w:t>https://mcp.opencaselaw.ch/entscheid/bger_9C_687_2009</w:t>
      </w:r>
    </w:p>
    <w:p>
      <w:r>
        <w:t>FR: TF 9C_687/2009 du 19 mars 2010</w:t>
      </w:r>
    </w:p>
    <w:p>
      <w:r>
        <w:t>IT: TF 9C_687/2009 del 19 marzo 2010</w:t>
      </w:r>
    </w:p>
    <w:p>
      <w:pPr>
        <w:pStyle w:val="Heading2"/>
      </w:pPr>
      <w:r>
        <w:t>Erwägungen</w:t>
      </w:r>
    </w:p>
    <w:p>
      <w:r>
        <w:rPr>
          <w:b/>
        </w:rPr>
        <w:t>E. 1</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soweit die rechtlichen Mängel nicht geradezu offensichtlich sind. Es kann die Verletzung von Grundrechten und von kantonalem und interkantonalem Recht nur insofern prüfen, als eine solche Rüge in der Beschwerde vorgebracht und begründet worden ist ( Art. 106 Abs. 2 BGG ).</w:t>
      </w:r>
    </w:p>
    <w:p>
      <w:r>
        <w:rPr>
          <w:b/>
        </w:rPr>
        <w:t>E. 2</w:t>
      </w:r>
    </w:p>
    <w:p>
      <w:r>
        <w:t>In grundsätzlicher Hinsicht unbestritten ist der Anspruch des Beschwerdeführers auf Invalidenleistungen aus weitergehender beruflicher Vorsorge und dessen Umfang. Streitig und zu prüfen ist die Frage, ob die Kürzung des Anspruchs infolge Überentschädigung, insbesondere unter Anrechnung von Ehegatten- und Kinderzusatzrenten, zulässig ist. Soweit der Beschwerdeführer letztinstanzlich etwas anderes verlangt (vgl. Replik des Beschwerdeführers vom 25. Januar 2010) ist darauf nicht einzutreten ( Art. 99 Abs. 2 BGG ).</w:t>
      </w:r>
    </w:p>
    <w:p>
      <w:r>
        <w:rPr>
          <w:b/>
        </w:rPr>
        <w:t>E. 3</w:t>
      </w:r>
    </w:p>
    <w:p>
      <w:r>
        <w:t>Eine umhüllende Vorsorgeeinrichtung hat die gesetzlichen Leistungen auszurichten, falls diese höher sind als der aufgrund des Reglementes berechnete Anspruch. Andernfalls bleibt es bei der reglementarisch vorgesehenen Leistung (sog. Anrechnungs- oder Vergleichsprinzip; vgl. BGE 127 V 264 E. 4 S. 267; 114 V 239 E. 7 und 8 S. 248 ff. mit Hinweisen; SZS 2004 S. 576, B 74/03 E. 3.3.3). Die Anspruchsberechnung hat dabei nicht in der Weise zu erfolgen, dass für den Obligatoriumsbereich und die weitergehende Vorsorge je isolierte Berechnungen angestellt und die Ergebnisse anschliessend addiert werden (Splittings- oder Kumulationsprinzip). Vielmehr sind den sich aus dem Gesetz ergebenden Ansprüchen auf zeitlich identischer Grundlage beruhende ( BGE 114 V 239 E. 9b S. 254) und gleichartige ( BGE 133 V 575 E. 4.2 S. 577; 121 V 104 E. 4 S. 106 f.), nach Massgabe des Reglements berechnete Leistungen gegenüberzustellen (sog. Schattenrechnung; SZS 2004 S. 576, B 74/03 E. 3.3.3).</w:t>
      </w:r>
    </w:p>
    <w:p>
      <w:r>
        <w:rPr>
          <w:b/>
        </w:rPr>
        <w:t>E. 4.1</w:t>
      </w:r>
    </w:p>
    <w:p>
      <w:r>
        <w:t>Das kantonale Gericht hat die Überentschädigungsberechnung der Vorsorgeeinrichtung bestätigt in der Auffassung, der Anspruch aus (weitergehender) beruflicher Vorsorge sei zu Recht um die gesamten Leistungen der Invaliden- resp. der Alters- und Hinterlassenenversicherung gekürzt worden.</w:t>
      </w:r>
    </w:p>
    <w:p>
      <w:r>
        <w:rPr>
          <w:b/>
        </w:rPr>
        <w:t>E. 4.2</w:t>
      </w:r>
    </w:p>
    <w:p>
      <w:r>
        <w:t>Im Rahmen der obligatorischen Vorsorge kann die Vorsorgeeinrichtung die Hinterlassenen- und Invalidenleistungen kürzen, soweit sie zusammen mit anderen anrechenbaren Einkünften 90 Prozent des mutmasslich entgangenen Verdienstes übersteigen ( Art. 24 Abs. 1 der Verordnung vom 18. April 1984 über die berufliche Alters-, Hinterlassenen- und Invalidenvorsorge [BVV 2; SR 831.441.1] ). Als anrechenbare Einkünfte gelten Leistungen gleicher Art und Zweckbestimmung, die der anspruchsberechtigten Person aufgrund des schädigenden Ereignisses ausgerichtet werden ( Art. 24 Abs. 2 Satz 1 BVV 2 ; sog. Kongruenzprinzip; vgl. BGE 135 V 29 E. 4.1 S. 30 mit Hinweisen). Mangels sachlicher und ereignisbezogener Kongruenz sind Altersleistungen der ersten Säule nicht in die Berechnung der Überentschädigung durch eine lebenslänglich auszurichtende Invalidenrente der obligatorischen beruflichen Vorsorge einzubeziehen ( BGE 135 V 29 und 33). Hingegen gelten Zusatzrenten der Invalidenversicherung für Ehegatten (vgl. den im Rahmen der 4. IV-Revision auf den 1. Januar 2004 aufgehobenen Art. 34 Abs. 1 Satz 1 IVG [AS 1959 827]) und Kinder ( Art. 35 Abs. 1 IVG ) als kongruent zu Invalidenleistungen der zweiten Säule, weshalb sie anzurechnen sind ( BGE 126 V 468 E. 6d S. 476 und E. 8 S. 478 f.).</w:t>
      </w:r>
    </w:p>
    <w:p>
      <w:r>
        <w:rPr>
          <w:b/>
        </w:rPr>
        <w:t>E. 4.3</w:t>
      </w:r>
    </w:p>
    <w:p>
      <w:r>
        <w:t>Im Bereich der weitergehenden Vorsorge kann die Vorsorgeeinrichtung für die Frage der Überentschädigung - unter Vorbehalt u.a. des Anrechnungsprinzips (E. 3) - eine vom Gesetz abweichende Regelung vorsehen ( Art. 49 Abs. 2 BVG e contrario). Es ist daher bei einer umhüllenden Vorsorgeeinrichtung grundsätzlich zulässig, in die reglementarische Regelung der Überentschädigung durch eine Invalidenrente auch dazu nicht kongruente Leistungen wie die Altersrente einzubeziehen.</w:t>
      </w:r>
    </w:p>
    <w:p>
      <w:r>
        <w:t>Die im konkreten Fall anwendbare (vgl. Art. 51 Abs. 1 des Vorsorgereglements Ausgabe 2008) Bestimmung von § 14 Abs. 2 der Versicherungsbedingungen (Ausgaben 1995 und 2005; nachfolgend Vb APK) lautet wie folgt:</w:t>
      </w:r>
    </w:p>
    <w:p>
      <w:r>
        <w:t>"Die Invaliden- und Hinterlassenenrenten der Kasse sind soweit herabzusetzen, als sie zusammen mit Lohnersatzleistungen oder mit Leistungen der eidgenössischen AHV, der IV, gemäss Unfallversicherungsgesetz (UVG) und der eidgenössischen Militärversicherung 90 % der Bruttobesoldung übersteigen."</w:t>
      </w:r>
    </w:p>
    <w:p>
      <w:r>
        <w:rPr>
          <w:b/>
        </w:rPr>
        <w:t>E. 4.4</w:t>
      </w:r>
    </w:p>
    <w:p>
      <w:r>
        <w:t>Da es sich bei der APK um eine öffentlich-rechtliche Vorsorgeeinrichtung handelt (§ 1 des Dekrets vom 5. Dezember 2006 über die Aargauische Pensionskasse [SAR 163.120]; § 1 Abs. 1 der Statuten vom 25. Oktober 1958), hat die Auslegung der einschlägigen Bestimmungen - anders als die Auslegung der Vorsorgereglemente privatrechtlicher Versicherungsträger - nach den gewöhnlichen Regeln der Gesetzesauslegung zu erfolgen ( BGE 133 V 314 E. 4.1 S. 316 f., mit Hinweisen). Danach ist das Gesetz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134 V 208 E. 2.2 S. 211 mit Hinweisen).</w:t>
      </w:r>
    </w:p>
    <w:p>
      <w:r>
        <w:rPr>
          <w:b/>
        </w:rPr>
        <w:t>E. 4.5</w:t>
      </w:r>
    </w:p>
    <w:p>
      <w:r>
        <w:t>Nach dem klaren Wortlaut von § 14 Abs. 2 Vb APK sind die Kinderrente sowie die Zusatzrente für die Ehegattin, auch wenn sie in dieser Bestimmung nicht explizit genannt werden, ebenso wie die Altersrente als "Leistungen der eidgenössischen AHV" oder der Invalidenversicherung bei der Berechnung einer Überentschädigung zu berücksichtigen. Der Beschwerdeführer kritisiert, dass dadurch die Invalidenleistungen aus beruflicher Vorsorge für einen Ansprecher mit familienrechtlichen Pflichten geringer ausfallen können als für einen Versicherten ohne solche Belastungen. Darin ist indessen keine unzulässige Benachteiligung zu erblicken; denn die Kürzung wird durch entsprechende Ansprüche gegenüber anderen Sozialversicherungen kompensiert. Diese beruhen - unbesehen der Auszahlungsweise im konkreten Fall (vgl. Art. 35 Abs. 4 IVG ) - nicht auf einem eigenständigen Anspruch des Ehegatten oder Kindes, sondern als akzessorische Leistungen auf jenem des versicherten Rentenberechtigten (AHI 2000 S. 229, I 29/99 E. 6). Die Regelung der Überentschädigung dient im Rahmen der Leistungskoordination der Vermeidung ungerechtfertigter Vorteile (vgl. Art. 34a Abs. 1 BVG ) und knüpft daher an den entgangenen Verdienst an. Sie verfolgt nicht familienpolitische Ziele, und weder Art. 41 Abs. 1 lit. c BV noch § 48 der Verfassung des Kantons Aargau vom 25. Juni 1980 (SAR 110.000) oder die vom Beschwerdeführer angerufenen zivilrechtlichen Bestimmungen sprechen gegen eine Leistungskürzung. Im Übrigen kann der Beschwerdeführer aus dem Hinweis der APK in der Überentschädigungsberechnung vom 13. März 2008, wonach die Kürzung gemäss § 14 Abs. 2 Vb APK oder - wenn dies für ihn vorteilhafter sei - gemäss Art. 24 BVV 2 vorgenommen werde, nichts für sich ableiten: Die Vorsorgeeinrichtung ist an die reglementarischen Bestimmungen gebunden und kann resp. muss davon nur im Rahmen des Anrechnungsprinzips (E. 3) abweichen.</w:t>
      </w:r>
    </w:p>
    <w:p>
      <w:r>
        <w:rPr>
          <w:b/>
        </w:rPr>
        <w:t>E. 4.6</w:t>
      </w:r>
    </w:p>
    <w:p>
      <w:r>
        <w:t>Nach dem Gesagten hat das kantonale Gericht die Überentschädigungsberechnung der APK, und dabei insbesondere den Einbezug der Zusatzrenten, unter Vorbehalt des Anrechnungsprinzips zu Recht bestätigt. Diesbezüglich fehlen vorinstanzliche Feststellungen; sie lassen sich indessen ergänzen ( Art. 105 Abs. 2 BGG ). Die Vorsorgeeinrichtung macht geltend, selbst im Vergleich zum ungekürzten obligatorischen Mindestanspruch fielen die reglementarisch gekürzten Leistungen deutlich höher aus. Dieser Behauptung, welche der Beschwerdeführer nicht bestreitet und das BSV nach versicherungsmathematischer Überprüfung bestätigt, ist beizupflichten. Die Überentschädigungsberechnung der APK und folglich die entsprechende Kürzung des Rentenanspruchs sind zulässig, die Anforderungen gemäss der mit BGE 135 V 29 und 33 begründeten Rechtsprechung eingehalten; die Beschwerde ist somit unbegründet.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