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9C_686/2024 vom 9. Januar 2025</w:t>
      </w:r>
    </w:p>
    <w:p>
      <w:r>
        <w:t>Bundesgericht, 2025-01-09, DE</w:t>
      </w:r>
    </w:p>
    <w:p>
      <w:r>
        <w:rPr>
          <w:b/>
        </w:rPr>
        <w:t xml:space="preserve">Quelle: </w:t>
      </w:r>
      <w:r>
        <w:t>https://mcp.opencaselaw.ch/entscheid/bger_9C_686_2024</w:t>
      </w:r>
    </w:p>
    <w:p>
      <w:r>
        <w:t>FR: TF 9C_686/2024 du 9 janvier 2025</w:t>
      </w:r>
    </w:p>
    <w:p>
      <w:r>
        <w:t>IT: TF 9C_686/2024 del 9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9C_686/2024</w:t>
      </w:r>
    </w:p>
    <w:p>
      <w:r>
        <w:t>Urteil vom 9. Januar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 Nabold.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Stiftung Auffangeinrichtung BVG, Recht &amp; Compliance,</w:t>
      </w:r>
    </w:p>
    <w:p>
      <w:r>
        <w:t>Elias-Canetti-Strasse 2, 8050 Zürich,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das Urteil des Bundesverwaltungsgerichts vom 28. Oktober 2024 (C-5222/2021).</w:t>
      </w:r>
    </w:p>
    <w:p>
      <w:r>
        <w:t>Nach Einsicht</w:t>
      </w:r>
    </w:p>
    <w:p>
      <w:r>
        <w:t>in die Beschwerde gegen das Urteil des Bundesverwaltungsgerichts vom 28. Oktober 2024,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die Beschwerdeführerin nicht aufzeigt, inwiefern das vorinstanzliche Urteil Bundesrecht verletzten sollte,</w:t>
      </w:r>
    </w:p>
    <w:p>
      <w:r>
        <w:t>dass insbesondere Vorinstanz und Verwaltung die von der Beschwerdeführerin im Jahre 2020 geleisteten Zahlungen - wie von ihr gefordert - zunächst als Tilgung der ausstehenden Beiträge gemäss der Betreibung Nr. xxx anrechneten,</w:t>
      </w:r>
    </w:p>
    <w:p>
      <w:r>
        <w:t>dass die Beschwerde den inhaltlichen Mindestanforderungen an ein Rechtsmittel somit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9. Januar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