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685/2019 vom 8. April 2020</w:t>
      </w:r>
    </w:p>
    <w:p>
      <w:r>
        <w:t>Bundesgericht, 2020-04-08, DE</w:t>
      </w:r>
    </w:p>
    <w:p>
      <w:r>
        <w:rPr>
          <w:b/>
        </w:rPr>
        <w:t xml:space="preserve">Quelle: </w:t>
      </w:r>
      <w:r>
        <w:t>https://mcp.opencaselaw.ch/entscheid/bger_9C_685_2019</w:t>
      </w:r>
    </w:p>
    <w:p>
      <w:r>
        <w:t>FR: TF 9C 685/2019 du 8 avril 2020</w:t>
      </w:r>
    </w:p>
    <w:p>
      <w:r>
        <w:t>IT: TF 9C 685/2019 del 8 aprile 2020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damit zu prüfen ist der Rentenanspruch des Beschwerdeführers. Gerügt wird unter anderem die Verwertbarkeit der Restarbeitsfähigkeit.</w:t>
      </w:r>
    </w:p>
    <w:p>
      <w:r>
        <w:rPr>
          <w:b/>
        </w:rPr>
        <w:t>E. 3.1</w:t>
      </w:r>
    </w:p>
    <w:p>
      <w:r>
        <w:t>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 BGE 145 V 209 E. 5.1 S. 211 f. mit Hinweisen). Diese Rechtsprechung findet auch dann Anwendung, wenn zeitgleich mit der Rentenzusprache über deren Befristung und/oder Abstufung befunden wird ( BGE 145 V 209 E. 5.4 S. 214).</w:t>
      </w:r>
    </w:p>
    <w:p>
      <w:r>
        <w:rPr>
          <w:b/>
        </w:rPr>
        <w:t>E. 3.2</w:t>
      </w:r>
    </w:p>
    <w:p>
      <w:r>
        <w:t>Die Beschwerdegegnerin, bestätigt durch den vorinstanzlichen Entscheid vom 6. Juni 2019, hat dem Beschwerdeführer rückwirkend ab 1. März 2002 eine ganze und ab 1. April 2004 eine Viertelsrente zugesprochen. Es handelt sich somit um die Zusprache einer abgestuften Invalidenrente. Im Zeitpunkt des Verfügungserlasses am 27. November 2018 war der Beschwerdeführer 69 und im Zeitpunkt der verfügten Rentenabstufung per 1. April 2004 55 Jahre alt. Die medizinische Zumutbarkeit stand sodann frühestens mit Erstattung des ABI-Gutachtens vom 21. November 2011 fest. Damals war der Beschwerdeführer 62 Jahre alt. Die dargelegte Rechtsprechung (E. 3.1) kommt somit ohne weiteres zur Anwendung (vgl. BGE 145 V 209 E. 5.4 S. 214). Neben der Zulässigkeit aus medizinischer Sicht ist die Rentenabstufung somit im Falle des Beschwerdeführers an die weitere Voraussetzung geknüpft, dass die Zumutbarkeit der Selbsteingliederung gegeben ist. Die Beschwerdegegnerin trägt die Beweislast dafür, dass es dem Beschwerdeführer zumutbar war, ein ab 2004 allfällig wieder ausgewiesenes höheres Leistungspotenzial (Resterwerbsfähigkeit von 53 %, 100 %-47 % [Invaliditätsgrad ab 2004]) auf dem Weg der Selbsteingliederung erwerblich zu verwerten. Diese Frage kann vorliegend nur ex post beurteilt werden. Eine schlüssige Antwort darauf lässt die Aktenlage für keinen der drei Zeitpunkte Verfügungserlass (27. November 2018), Rentenabstufung (1. April 2004) und Feststehen der medizinischen Zumutbarkeit (frühestens 21. November 2011) zu. Da von retrospektiven Abklärungen keine entscheidrelevanten Ergebnisse zu erwarten sind, ist in antizipierter Beweiswürdigung ( BGE 144 V 361 E. 6.5 S. 368 f., 136 I 229 E. 5.3 S. 236) auf Beweislosigkeit zu schliessen. Diese geht zu Lasten der Beschwerdegegnerin. Es bleibt somit auch ab dem 1. April 2004 bei einer ganzen Invalidenrente. Die Beschwerde ist begründet.</w:t>
      </w:r>
    </w:p>
    <w:p>
      <w:r>
        <w:rPr>
          <w:b/>
        </w:rPr>
        <w:t>E. 4</w:t>
      </w:r>
    </w:p>
    <w:p>
      <w:r>
        <w:t>Mit dem Urteil in der Sache wird das Gesuch um Gewährung der aufschiebenden Wirkung gegenstandslos. Keiner Weiterungen bedarf bei diesem Ergebnis sodann die gerügte Verletzung des rechtlichen Gehörs.</w:t>
      </w:r>
    </w:p>
    <w:p>
      <w:r>
        <w:rPr>
          <w:b/>
        </w:rPr>
        <w:t>E. 5</w:t>
      </w:r>
    </w:p>
    <w:p>
      <w:r>
        <w:t>Dem Ausgang des Verfahrens entsprechend hat die unterliegende Beschwerdegegnerin die Gerichtskosten zu tragen ( Art. 66 Abs. 1 Satz 1 BGG ) und dem anwaltlich vertretenen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