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9C_684/2025 vom 23. Dezember 2025</w:t>
      </w:r>
    </w:p>
    <w:p>
      <w:r>
        <w:t>Bundesgericht, 2025-12-23, DE</w:t>
      </w:r>
    </w:p>
    <w:p>
      <w:r>
        <w:rPr>
          <w:b/>
        </w:rPr>
        <w:t xml:space="preserve">Quelle: </w:t>
      </w:r>
      <w:r>
        <w:t>https://mcp.opencaselaw.ch/entscheid/bger_9C_684_2025</w:t>
      </w:r>
    </w:p>
    <w:p>
      <w:r>
        <w:t>FR: TF 9C_684/2025 du 23 décembre 2025</w:t>
      </w:r>
    </w:p>
    <w:p>
      <w:r>
        <w:t>IT: TF 9C_684/2025 del 23 dicembre 2025</w:t>
      </w:r>
    </w:p>
    <w:p>
      <w:pPr>
        <w:pStyle w:val="Heading2"/>
      </w:pPr>
      <w:r>
        <w:t>Erwägungen</w:t>
      </w:r>
    </w:p>
    <w:p>
      <w:r>
        <w:rPr>
          <w:b/>
        </w:rPr>
        <w:t>E. 1</w:t>
      </w:r>
    </w:p>
    <w:p>
      <w:r>
        <w:t>Mit Urteil vom 27. Oktober 2025 wies das Bundesverwaltungsgericht die Beschwerde der A.________ AG gegen den Einspracheentscheid der eidgenössischen Steuerverwaltung (ESTV) vom 12. August 2024 ab. Hiergegen lässt die A.________ AG (nachfolgend: Beschwerdeführerin) Beschwerde in öffentlich-rechtlichen Angelegenheiten führen und die Aufhebung des Urteils vom 27. Oktober 2025 beantragen. Eventualiter sei die Sache zur nochmaligen Durchführung des Einspracheverfahrens an die Vorinstanz zurückzuweisen.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auf bloss allgemein gehaltene, appellatorische Kritik am vorinstanzlichen Entscheid geht das Bundesgericht nicht ein ( Art. 106 Abs. 2 BGG ; BGE 150 II 346 E. 1.5.3).</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Die Anfechtung der vorinstanzlichen Feststellungen unterliegt der qualifizierten Rüge- und Begründungsobliegenheit ( BGE 150 II 346 E. 1.6; 149 II 43 E. 3.6.4; 149 V 156 E. 6.2).</w:t>
      </w:r>
    </w:p>
    <w:p>
      <w:r>
        <w:rPr>
          <w:b/>
        </w:rPr>
        <w:t>E. 2.3</w:t>
      </w:r>
    </w:p>
    <w:p>
      <w:r>
        <w:t>Neue Tatsachen und Beweismittel dürfen vor Bundesgericht nur so weit vorgebracht werden, als erst der Entscheid der Vorinstanz dazu Anlass gibt ( Art. 99 Abs. 1 BGG ), was in der Beschwerde näher darzulegen ist ( Art. 42 Abs. 2 BGG ; BGE 148 V 174 E. 2.2). Neue Begehren sind hingegen unzulässig ( Art. 99 Abs. 2 BGG ).</w:t>
      </w:r>
    </w:p>
    <w:p>
      <w:r>
        <w:rPr>
          <w:b/>
        </w:rPr>
        <w:t>E. 2.4</w:t>
      </w:r>
    </w:p>
    <w:p>
      <w:r>
        <w:t>Die Vorinstanz erwog, die ESTV habe den Antrag auf eine persönliche Besprechung abweisen und aufgrund der Akten entscheiden dürfen. Eine Gehörsverletzung, wie von der Beschwerdeführerin geltend gemacht, liege nicht vor. Ein Anspruch auf eine mündliche Verhandlung bestehe nicht und der Beschwerdeführerin sei mehrfach Gelegenheit gegeben worden sich zur Sache zu äussern, einerseits mündlich im Kontrollverfahren und andererseits schriftlich im Einspracheverfahren. In materieller Hinsicht bestätigte sie die Steuernachforderung von Fr. 78'445.-.</w:t>
      </w:r>
    </w:p>
    <w:p>
      <w:r>
        <w:rPr>
          <w:b/>
        </w:rPr>
        <w:t>E. 2.5</w:t>
      </w:r>
    </w:p>
    <w:p>
      <w:r>
        <w:t>Mit diesen Ausführungen setzt sich die Beschwerde nicht auseinander. Einerseits verweist die Beschwerdeführerin pauschal auf ihre Ausführungen in ihrer Einsprache an die ESTV bzw. in ihrer Beschwerde an die Vorinstanz. Dabei ist zu beachten, dass die Begründung in der Beschwerde selbst enthalten sein muss; der blosse Verweis auf Ausführungen in anderen Rechtsschriften oder auf die Akten reicht nicht aus ( BGE 144 V 173 E. 3.2.2; 143 IV 122 E. 3.3). Andererseits genügt die appellatorisch geltend gemachte Gehörsverletzung und die geltend gemachte unrichtige Feststellung des Sachverhalts den erhöhten Begründungsanforderungen nicht. Aus der Beschwerde geht nicht hervor, welche Tatsachen und Ausführungen die Vorinstanz nicht berücksichtigt haben soll. Die Beschwerde enthält damit offensichtlich keine hinreichende Begründung. Soweit die Beschwerdeführerin Belege einreicht und geltend macht, ein Betrag von Fr. 13'014.- müsse vom verfügten Betrag in Abzug gebracht werden, ist zu beachten, dass es sich hierbei nicht um eine rechtsgenügliche Auseinandersetzung mit den vorinstanzlichen Ausführungen zur Ermessenseinschätzung handelt. Auf die Beschwerde ist im vereinfachten Verfahren nicht einzutreten ( Art. 108 Abs. 1 lit. b BGG ).</w:t>
      </w:r>
    </w:p>
    <w:p>
      <w:r>
        <w:rPr>
          <w:b/>
        </w:rPr>
        <w:t>E. 3</w:t>
      </w:r>
    </w:p>
    <w:p>
      <w:r>
        <w:t>Nach dem Unterliegensprinzip sind die Kosten des bundesgerichtlichen Verfahrens der Beschwerdeführerin aufzuerlegen ( Art. 65 und 66 Abs. 1 Satz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