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9C_684/2010 vom 4. November 2010</w:t>
      </w:r>
    </w:p>
    <w:p>
      <w:r>
        <w:t>Bundesgericht, 2010-11-04, DE</w:t>
      </w:r>
    </w:p>
    <w:p>
      <w:r>
        <w:rPr>
          <w:b/>
        </w:rPr>
        <w:t xml:space="preserve">Quelle: </w:t>
      </w:r>
      <w:r>
        <w:t>https://mcp.opencaselaw.ch/entscheid/bger_9C_684_2010</w:t>
      </w:r>
    </w:p>
    <w:p>
      <w:r>
        <w:t>FR: TF 9C_684/2010 du 4 novembre 2010</w:t>
      </w:r>
    </w:p>
    <w:p>
      <w:r>
        <w:t>IT: TF 9C_684/2010 del 4 novembre 2010</w:t>
      </w:r>
    </w:p>
    <w:p>
      <w:pPr>
        <w:pStyle w:val="Heading2"/>
      </w:pPr>
      <w:r>
        <w:t>Erwägungen</w:t>
      </w:r>
    </w:p>
    <w:p>
      <w:r>
        <w:rPr>
          <w:b/>
        </w:rPr>
        <w:t>E. 1</w:t>
      </w:r>
    </w:p>
    <w:p>
      <w:r>
        <w:t>Der Beschwerdeführer rügt in formeller Hinsicht eine Verletzung des in Art. 6 Abs. 1 EMRK verankerten Öffentlichkeitsprinzips, weil das kantonale Gericht trotz entsprechenden Antrags keine öffentliche Verhandlung durchgeführt hat, obwohl eine persönliche Anhörung als geeignete Grundlage für die Einschätzung der gesundheitlichen Einschränkungen zu betrachten sei. Die Vorinstanz hat das Gesuch um Durchführung einer öffentlichen Verhandlung unter Hinweis auf die Rechtsprechung des Europäischen Gerichtshofes für Menschenrechte (EGMR) sowie des Bundesgerichts resp. des Eidg. Versicherungsgerichts abgewiesen mit der Begründung, von der Anhörung seien keine weiteren Erkenntnisse zu erwarten.</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w:t>
      </w:r>
    </w:p>
    <w:p>
      <w:r>
        <w:t>Das kantonale Gericht, welchem es primär obliegt, die Öffentlichkeit der Verhandlung zu gewährleisten ( BGE 122 V 47 E. 3 S. 54), hat bei Vorliegen eines klaren und unmissverständlichen Parteiantrages grundsätzlich eine öffentliche Verhandlung durchzuführen ( BGE 122 V 47 E. 3a und b S. 55 f.). Von einer ausdrücklich beantragten öffentlichen Verhandlung kann abgesehen werden, wenn der Antrag der Partei als schikanös erscheint oder auf eine Verzögerungstaktik schliessen lässt und damit dem Grundsatz der Einfachheit und Raschheit des Verfahrens zuwider läuft oder sogar rechtsmissbräuchlich ist. Gleiches gilt, wenn sich ohne öffentliche Verhandlung mit hinreichender Zuverlässigkeit erkennen lässt, dass eine Beschwerde offensichtlich unbegründet oder unzulässig ist ( BGE 122 V 47 E. 3b/cc und dd S. 56).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 fallen.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3b/ee und ff S. 57 f.).</w:t>
      </w:r>
    </w:p>
    <w:p>
      <w:r>
        <w:rPr>
          <w:b/>
        </w:rPr>
        <w:t>E. 2.2</w:t>
      </w:r>
    </w:p>
    <w:p>
      <w:r>
        <w:t>Beim vorliegenden Prozess betreffend die Revision einer Rente der Invalidenversicherung handelt es sich um eine Streitigkeit über einen zivilrechtlichen Anspruch im Sinne von Art. 6 Ziff. 1 EMRK ( BGE 125 V 499 E. 2a S. 501, 122 V 47 E. 2a S. 50 mit Hinweisen; SVR 2006 IV Nr. 1 E. 3.3). Ferner hat der Beschwerdeführer im vorinstanzlichen Verfahren rechtzeitig einen unmissverständlichen Antrag auf Durchführung einer öffentlichen Verhandlung gestellt ( BGE 122 V 47 E. 3b/bb S. 56).</w:t>
      </w:r>
    </w:p>
    <w:p>
      <w:r>
        <w:rPr>
          <w:b/>
        </w:rPr>
        <w:t>E. 2.3</w:t>
      </w:r>
    </w:p>
    <w:p>
      <w:r>
        <w:t>Das Bundesgericht hat in BGE 136 I 279 entschieden, dass in Verfahren mit hauptsächlich medizinischer Fragestellung eine bessere Eignung des schriftlichen Verfahrens nicht erkennbar ist, auch wenn Gegenstand in einer allfälligen Verhandlung einzig die Auseinandersetzung mit den vorhandenen Stellungnahmen von Ärztinnen und Ärzten zu Gesundheitsschaden und Grad der Arbeitsunfähigkeit bildet. Es handelt sich bei der Würdigung solcher medizinischen Berichte und der Beurteilung der Beweiskraft einander widersprechender ärztlicher Aussagen um eine auf dem Gebiet des Sozialversicherungsrechts alltägliche und damit nicht um eine "hochtechnische" Thematik im Sinne der Rechtsprechung. Sodann kann eine öffentliche Verhandlung in einzelnen Fällen mit medizinischer Fragestellung geeignet sein, zu einer Klärung offener Tatfragen beizutragen (in BGE 136 I 279 E. 3.2; vgl. auch Urteile 9C_677/2010 vom 11. Oktober 2010 und 9C_1034/2009 vom 8. Juni 2010).</w:t>
      </w:r>
    </w:p>
    <w:p>
      <w:r>
        <w:rPr>
          <w:b/>
        </w:rPr>
        <w:t>E. 2.4</w:t>
      </w:r>
    </w:p>
    <w:p>
      <w:r>
        <w:t>Die Voraussetzungen für einen Verzicht auf die von der Versicherten in der Beschwerde an die Vorinstanz ausdrücklich beantragte Durchführung einer öffentlichen Verhandlung sind nicht gegeben. Weder ist der Antrag schikanös, noch läuft er dem Grundsatz der Einfachheit und Raschheit des Verfahrens zuwider. Sodann kann das Rechtsmittel nicht als offensichtlich unbegründet oder unzulässig bezeichnet werden, was denn auch das Kantonsgericht nicht angenommen hat. Von hoher Technizität der sich stellenden Fragen kann ebenfalls nicht gesprochen werden: Streitig ist, ob sich der gesundheitliche Zustand in anspruchsbeeinflussendem Mass verändert hat. Damit liegt ein Streit um den Arbeitsunfähigkeitsgrad vor, der keine Ausnahme von der Pflicht, eine öffentliche Verhandlung durchzuführen, begründet. Schliesslich war dem materiellen Rechtsbegehren des Versicherten allein aufgrund der Akten nicht ohne weiteres zu entsprechen.</w:t>
      </w:r>
    </w:p>
    <w:p>
      <w:r>
        <w:rPr>
          <w:b/>
        </w:rPr>
        <w:t>E. 2.5</w:t>
      </w:r>
    </w:p>
    <w:p>
      <w:r>
        <w:t>Indem die Vorinstanz unter diesen Umständen von der beantragten öffentlichen Verhandlung abgesehen hat, wurde dieser in Art. 6 Ziff. 1 EMRK gewährleisteten Verfahrensgarantie nicht Rechnung getragen. Es ist daher unumgänglich, die Sache an das Kantonsgericht Freiburg zurückzuweisen, damit dieses den Verfahrensmangel behebt und die vom Beschwerdeführer verlangte öffentliche Verhandlung durchführt. Hernach wird das Gericht über die Beschwerde materiell neu zu befinden haben.</w:t>
      </w:r>
    </w:p>
    <w:p>
      <w:r>
        <w:rPr>
          <w:b/>
        </w:rPr>
        <w:t>E. 3</w:t>
      </w:r>
    </w:p>
    <w:p>
      <w:r>
        <w:t>Dem Prozessausgang entsprechend sind die Gerichtskosten der unterliegenden IV-Stelle aufzuerlegen ( Art. 66 Abs. 1 BGG ). Diese hat dem Beschwerdeführer überdies eine Parteientschädigung zu bezahlen ( Art. 68 Abs. 1 und 2 BGG ). Der Antrag auf Gewährung der unentgeltlichen Rechtspflege und Verbeiständung ist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