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9C_684/2009 vom 18. September 2009</w:t>
      </w:r>
    </w:p>
    <w:p>
      <w:r>
        <w:t>Bundesgericht, 2009-09-18, DE</w:t>
      </w:r>
    </w:p>
    <w:p>
      <w:r>
        <w:rPr>
          <w:b/>
        </w:rPr>
        <w:t xml:space="preserve">Quelle: </w:t>
      </w:r>
      <w:r>
        <w:t>https://mcp.opencaselaw.ch/entscheid/bger_9C_684_2009</w:t>
      </w:r>
    </w:p>
    <w:p>
      <w:r>
        <w:t>FR: TF 9C_684/2009 du 18 septembre 2009</w:t>
      </w:r>
    </w:p>
    <w:p>
      <w:r>
        <w:t>IT: TF 9C_684/2009 del 18 settembre 2009</w:t>
      </w:r>
    </w:p>
    <w:p>
      <w:pPr>
        <w:pStyle w:val="Heading2"/>
      </w:pPr>
      <w:r>
        <w:t>Volltext</w:t>
      </w:r>
    </w:p>
    <w:p>
      <w:r>
        <w:t>Bundesgericht</w:t>
      </w:r>
    </w:p>
    <w:p>
      <w:r>
        <w:t>Tribunal fédéral</w:t>
      </w:r>
    </w:p>
    <w:p>
      <w:r>
        <w:t>Tribunale federale</w:t>
      </w:r>
    </w:p>
    <w:p>
      <w:r>
        <w:t>Tribunal federal</w:t>
      </w:r>
    </w:p>
    <w:p>
      <w:r>
        <w:t>{T 0/2}</w:t>
      </w:r>
    </w:p>
    <w:p>
      <w:r>
        <w:t>9C_684/2009</w:t>
      </w:r>
    </w:p>
    <w:p>
      <w:r>
        <w:t>Urteil vom 18. September 2009</w:t>
      </w:r>
    </w:p>
    <w:p>
      <w:r>
        <w:t>II. sozialrechtliche Abteilung</w:t>
      </w:r>
    </w:p>
    <w:p>
      <w:r>
        <w:t>Besetzung</w:t>
      </w:r>
    </w:p>
    <w:p>
      <w:r>
        <w:t>Bundesrichter U. Meyer, Präsident,</w:t>
      </w:r>
    </w:p>
    <w:p>
      <w:r>
        <w:t>Gerichtsschreiber R. Widmer.</w:t>
      </w:r>
    </w:p>
    <w:p>
      <w:r>
        <w:t>Parteien</w:t>
      </w:r>
    </w:p>
    <w:p>
      <w:r>
        <w:t>F.________,</w:t>
      </w:r>
    </w:p>
    <w:p>
      <w:r>
        <w:t>vertreten durch Rechtsanwalt Franklin Sedaj,</w:t>
      </w:r>
    </w:p>
    <w:p>
      <w:r>
        <w:t>Beschwerdeführer,</w:t>
      </w:r>
    </w:p>
    <w:p>
      <w:r>
        <w:t>gegen</w:t>
      </w:r>
    </w:p>
    <w:p>
      <w:r>
        <w:t>IV-Stelle für Versicherte im Ausland,</w:t>
      </w:r>
    </w:p>
    <w:p>
      <w:r>
        <w:t>Avenue Edmond-Vaucher 18, 1203 Genf,</w:t>
      </w:r>
    </w:p>
    <w:p>
      <w:r>
        <w:t>Beschwerdegegnerin.</w:t>
      </w:r>
    </w:p>
    <w:p>
      <w:r>
        <w:t>Gegenstand</w:t>
      </w:r>
    </w:p>
    <w:p>
      <w:r>
        <w:t>Invalidenversicherung,</w:t>
      </w:r>
    </w:p>
    <w:p>
      <w:r>
        <w:t>Beschwerde gegen den Entscheid</w:t>
      </w:r>
    </w:p>
    <w:p>
      <w:r>
        <w:t>des Bundesverwaltungsgericht</w:t>
      </w:r>
    </w:p>
    <w:p>
      <w:r>
        <w:t>vom 27. Juli 2009.</w:t>
      </w:r>
    </w:p>
    <w:p>
      <w:r>
        <w:t>Nach Einsicht</w:t>
      </w:r>
    </w:p>
    <w:p>
      <w:r>
        <w:t>in die Beschwerde vom 19. August 2009 (Poststempel) gegen den Entscheid des Bundesverwaltungsgerichts vom 27. Juli 2009,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wohl einen rechtsgenüglichen Antrag enthält, den Ausführungen jedoch nicht entnommen werden kann, inwiefern die Sachverhaltsfeststellung im Sinne von Art. 97 Abs. 1 BGG unzutreffend und die darauf beruhenden Erwägungen rechtsfehlerhaft sein sollen,</w:t>
      </w:r>
    </w:p>
    <w:p>
      <w:r>
        <w:t>dass das letztinstanzlich aufgelegte Attest des Neuropsychiaters Dr. A.________/Kosovo, vom 18. August 2009 schon deshalb nicht berücksichtigt werden kann, weil es lange nach dem für die richterliche Beurteilung massgebenden Zeitpunkt des Erlasses des Einspracheentscheides (vom 22. März 2007) ausgestellt wurde,</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18. September 2009</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