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684/2007 vom 27. Dezember 2007</w:t>
      </w:r>
    </w:p>
    <w:p>
      <w:r>
        <w:t>Bundesgericht, 2007-12-27, DE</w:t>
      </w:r>
    </w:p>
    <w:p>
      <w:r>
        <w:rPr>
          <w:b/>
        </w:rPr>
        <w:t xml:space="preserve">Quelle: </w:t>
      </w:r>
      <w:r>
        <w:t>https://mcp.opencaselaw.ch/entscheid/bger_9C_684_2007</w:t>
      </w:r>
    </w:p>
    <w:p>
      <w:r>
        <w:t>FR: TF 9C 684/2007 du 27 décembre 2007</w:t>
      </w:r>
    </w:p>
    <w:p>
      <w:r>
        <w:t>IT: TF 9C 684/2007 del 27 dicembre 2007</w:t>
      </w:r>
    </w:p>
    <w:p>
      <w:pPr>
        <w:pStyle w:val="Heading2"/>
      </w:pPr>
      <w:r>
        <w:t>Regeste</w:t>
      </w:r>
    </w:p>
    <w:p>
      <w:r>
        <w:t>Invalidenversicherung | Invalidenversicherung</w:t>
      </w:r>
    </w:p>
    <w:p>
      <w:pPr>
        <w:pStyle w:val="Heading2"/>
      </w:pPr>
      <w:r>
        <w:t>Erwägungen</w:t>
      </w:r>
    </w:p>
    <w:p>
      <w:r>
        <w:rPr>
          <w:b/>
        </w:rPr>
        <w:t>E. 1.1</w:t>
      </w:r>
    </w:p>
    <w:p>
      <w:r>
        <w:t>Die Vorinstanz hat in Ziff. 1 ihres Urteils festgehalten, dass der Beschwerdegegner ab August 2006 Anspruch auf eine ganze Invalidenrente hat. In Ziff. 2 hat sie die Akten im Sinne der Erwägungen zur Festlegung der Invalidenrente an die IV-Stelle zurückgewiesen. Formell handelt es sich dabei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 129 I 313 E. 3.2 S. 316). Wenn jedoch der unteren Instanz, an welche zurückgewiesen wird, kein Entscheidungsspielraum mehr verbleibt und die Rückweisung nur noch der Umsetzung des oberinstanzlich Angeordneten dient, handelt es sich in Wirklichkeit um einen Endentscheid (Urteil 1A.194/2006 vom 14. März 2007, E. 2.2; Urteil 2P.164/2004 vom 25. Januar 2005, E. 1.1; vgl. BGE 129 I 313 E. 3.3 S. 317; Uhlmann, in: Niggli/Uebersax/Wiprächtiger (Hrsg.), Kommentar zum Bundesgerichtsgesetz, N 9 zu Art. 90). Die Vorinstanz hat in Ziff. 1 des Urteils Rentenhöhe und -beginn verbindlich festgelegt. Die Rückweisung dient nur noch der frankenmässigen Berechnung des Rentenbetrags. Dabei handelt es sich in aller Regel um rein rechnerische Fragen, bei denen kein Entscheidungsspielraum verbleibt. Zudem obliegt der IV-Stelle nur die (hier streitige) Festlegung der Invalidität ( Art. 57 Abs. 1 lit. d IVG ), während die frankenmässige Berechnung der Rente auf dieser Grundlage Sache der Ausgleichskasse ist ( Art. 60 Abs. 1 lit. b IVG ). Zwar ergeht in der Regel eine gesamthafte Verfügung der IV-Stelle, mit welcher nach Berechnung des Rentenbetrags durch die Ausgleichskasse die Rente frankenmässig festgesetzt wird ( Art. 57 Abs. 1 lit. e IVG ), weshalb die Vorinstanz mit Recht die Sache an die IV-Stelle und nicht direkt an die Ausgleichskasse zurückgewiesen hat. Trotzdem ist mit der Zusprechung einer ganzen Rente in aller Regel das Wesentliche entschieden. Es ist daher festzuhalten, dass der Entscheid, mit dem eine Vorinstanz des Bundesgerichts die Rentenhöhe (ganze, drei Viertel usw.), aber nicht den frankenmässigen Rentenbetrag festsetzt, als Endentscheid zu qualifizieren ist. Wenn sich ausnahmsweise in der Folge die frankenmässige Berechnung als umstritten erweisen sollte, bleibt es den Betroffenen unbenommen, diesbezüglich die spätere Verfügung anzufechten. Auf die Beschwerde ist daher einzutreten ( Art. 90 BGG ).</w:t>
      </w:r>
    </w:p>
    <w:p>
      <w:r>
        <w:rPr>
          <w:b/>
        </w:rPr>
        <w:t>E. 1.2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zur auch unter der Geltung des BGG massgebenden Abgrenzung von Tat- und Rechtsfragen im Bereich der Invaliditätsbemessung [ Art. 16 ATSG ] vgl. BGE 132 V 393 ).</w:t>
      </w:r>
    </w:p>
    <w:p>
      <w:r>
        <w:rPr>
          <w:b/>
        </w:rPr>
        <w:t>E. 2</w:t>
      </w:r>
    </w:p>
    <w:p>
      <w:r>
        <w:t>Streitig und zu prüfen ist der Beginn des Anspruchs auf eine Invalidenrente.</w:t>
      </w:r>
    </w:p>
    <w:p>
      <w:r>
        <w:rPr>
          <w:b/>
        </w:rPr>
        <w:t>E. 2.1</w:t>
      </w:r>
    </w:p>
    <w:p>
      <w:r>
        <w:t>Das kantonale Gericht hat die massgebende Bestimmung über den Beginn des Rentenanspruchs ( Art. 29 Abs. 1 lit. b und Abs. 2 IVG ) sowie den Begriff der Arbeitsunfähigkeit ( Art. 6 ATSG ; BGE 130 V 97 E. 3.2 S. 99, 343 E. 3.1 S. 345) zutreffend dargelegt.</w:t>
      </w:r>
    </w:p>
    <w:p>
      <w:r>
        <w:rPr>
          <w:b/>
        </w:rPr>
        <w:t>E. 2.2.1</w:t>
      </w:r>
    </w:p>
    <w:p>
      <w:r>
        <w:t>Der vorinstanzlich festgesetzte Beginn der Wartezeit nach Art. 29 Abs. 1 lit. b IVG entspricht einer lediglich unter eingeschränktem Blickwinkel überprüfbaren Tatfrage (Urteil 9C_182/2007 vom 7. Dezember 2007, E. 4.1.1). Hingegen ist Rechtsfrage, nach welchen Regeln die Arbeitsunfähigkeit festzustellen ist.</w:t>
      </w:r>
    </w:p>
    <w:p>
      <w:r>
        <w:rPr>
          <w:b/>
        </w:rPr>
        <w:t>E. 2.2.2</w:t>
      </w:r>
    </w:p>
    <w:p>
      <w:r>
        <w:t>Das kantonale Gericht hat erwogen, unabhängig davon, ob man auf den Bericht des RAD vom 11. Januar 2007 (Beginn der Arbeitsunfähigkeit in der bisherigen Tätigkeit als Lastwagenchauffeur im Januar 2005) oder auf das interdisziplinäre Gutachten vom 7. Juli 2006 (vollständige Arbeitsunfähigkeit in der angestammten Tätigkeit bereits ab Januar 2004) abstelle, sei der Versicherte im August 2006 jedenfalls seit über einem Jahr ohne wesentlichen Unterbruch vollständig arbeitsunfähig gewesen, dies bei ab August 2006 belegter Erwerbsunfähigkeit in eben diesem Umfang. Damit stehe fest, dass die Anspruchsvoraussetzungen des Art. 29 Abs. 1 lit. b IVG ab August 2006 erfüllt seien.</w:t>
      </w:r>
    </w:p>
    <w:p>
      <w:r>
        <w:rPr>
          <w:b/>
        </w:rPr>
        <w:t>E. 2.2.3</w:t>
      </w:r>
    </w:p>
    <w:p>
      <w:r>
        <w:t>Die beschwerdeführende Verwaltung wendet - unter Verweis auf BGE 105 V 156 und 104 V 141 - ein, nach vorangegangener rechtskräftiger Rentenablehnung und Neuanmeldung könne bezüglich der für die Berechnung des Wartejahres massgebenden Arbeitsunfähigkeit nicht mehr allein auf die Arbeitsunfähigkeit in der ursprünglichen Tätigkeit als Lastwagenchauffeur abgestellt werden. Stattdessen sei die Arbeitsfähigkeit in einer zumutbaren Verweisungstätigkeit zu berücksichtigen. Da die Erwerbsunfähigkeit von 12 Prozent (gemäss dem Einspracheentscheid vom 27. Januar 2005) den für die Berechnung der durchschnittlichen Arbeitsunfähigkeit nach Art. 29 Abs. 1 lit. b IVG geltenden Mindestumfang von 20 Prozent (vgl. AHI 1998 S. 124) nicht erreiche, könne ein neues Wartejahr bis zur im August 2006 eingetretenen Verschlechterung des Gesundheitszustands nicht als eröffnet gelten.</w:t>
      </w:r>
    </w:p>
    <w:p>
      <w:r>
        <w:rPr>
          <w:b/>
        </w:rPr>
        <w:t>E. 2.3</w:t>
      </w:r>
    </w:p>
    <w:p>
      <w:r>
        <w:t>Bezugspunkt der für die Rentenentstehung relevanten Arbeitsunfähigkeit bildet einzig der bisherige Beruf ( BGE 130 V 97 E. 3.2 S. 99 mit Hinweisen). Von dieser Regel ist auch vorliegend nicht abzuweichen. Dem von der Verwaltung angerufenen BGE 104 V 141 (vgl. auch Urteil I 304/03 vom 22. Juli 2003, E. 4) lag eine andere tatbeständliche Konstellation zugrunde. Dort war ein Fall zu beurteilen, in dem der Versicherte die angestammte Tätigkeit (Dachdecker) aus gesundheitlichen Gründen zugunsten einer schlechter bezahlten Arbeit (Tankwart) aufgegeben hatte und später durch neue Gesundheitsschädigungen (Hirnschlag, Herzinfarkt) weitere Einschränkungen seiner Leistungsfähigkeit erfuhr. Das Eidgenössische Versicherungsgericht erkannte, im Interesse der rechtsgleichen Behandlung aller Versicherten müsse jedenfalls dann, wenn der Grad der Arbeitsunfähigkeit praktisch der gesundheitlich bedingten Erwerbseinbusse entspreche, zur Bestimmung der massgebenden durchschnittlichen Arbeitsunfähigkeit das Einkommen, das der Versicherte ohne Gesundheitsschädigung in seinem ursprünglich ausgeübten Beruf erzielen könnte, in Beziehung gesetzt werden zu jenem Einkommen, das er nach Eintritt der zusätzlichen Behinderung im zuletzt ausgeübten Beruf noch erreiche ( BGE 104 V 141 E. 2b S. 144). Es besteht kein Grund, hier wegen der vorgängigen Rentenablehnung sinngemäss zu verfahren. Die bis zur strittigen Verfügung vom 23. Januar 2007 eingetretene Veränderung gegenüber den dem rechtskräftigen Einspracheentscheid vom 27. Januar 2005 zugrunde liegenden Verhältnissen liegt einzig darin, dass sich das Ausmass der nach Ablauf der Wartezeit weiterhin bestehenden Erwerbsunfähigkeit verändert hat. Für die Bestimmung der Arbeitsunfähigkeit im Sinne von Art. 29 Abs. 1 lit. b IVG kann im Übrigen dann nicht allein auf die frühere Tätigkeit abgestellt werden, wenn ein Versicherter diese schon vor Eintritt des Gesundheitsschadens aus invaliditätsfremden Gründen aufgegeben hatte und für ihn - als Arbeitslosen - auch andere Arbeiten in Frage gekommen wären (vgl. Urteil I 943/06 vom 13. April 2007, E. 5.1.3). Ein solcher Fall ist hier ebenfalls nicht gegeben. Damit erwuchs dem Beschwerdegegner mit Eintritt der vollen Erwerbsunfähigkeit im August 2006 ab dem ersten Tag dieses Monats der Anspruch auf die ganze Invalidenrente ( Art. 29 Abs. 2 Satz 1 IVG ).</w:t>
      </w:r>
    </w:p>
    <w:p>
      <w:r>
        <w:rPr>
          <w:b/>
        </w:rPr>
        <w:t>E. 2.4</w:t>
      </w:r>
    </w:p>
    <w:p>
      <w:r>
        <w:t>Zusammengefasst steht fest, dass die Wartezeit (spätestens) seit Januar 2005 eröffnet war und es in der Folge mangels Wiedererlangung voller Arbeitsfähigkeit zu keinem wesentlichen Unterbruch im Sinne des Art. 29ter IVV kam. Daran ändert die Rechtskraft des Einspracheentscheides vom 27. Januar 2005 nichts, der auf einer damals fehlenden rentenbegründenden Invalidität (von 12 Prozent) beruhte.</w:t>
      </w:r>
    </w:p>
    <w:p>
      <w:r>
        <w:rPr>
          <w:b/>
        </w:rPr>
        <w:t>E. 3</w:t>
      </w:r>
    </w:p>
    <w:p>
      <w:r>
        <w:t>Die Beschwerde hatte keine Aussicht auf Erfolg, weshalb sie im vereinfachten Verfahren nach Art. 109 BGG als offensichtlich unbegründet (Abs. 2 lit. a), mit summarischer Begründung, unter Verweis auf den vorinstanzlichen Entscheid (Abs. 3) und ohne Schriftenwechsel erledigt wird.</w:t>
      </w:r>
    </w:p>
    <w:p>
      <w:r>
        <w:rPr>
          <w:b/>
        </w:rPr>
        <w:t>E. 4</w:t>
      </w:r>
    </w:p>
    <w:p>
      <w:r>
        <w:t>Die Gerichtskosten werden der Beschwerdeführerin als unterliegender Partei auferlegt ( Art. 66 Abs. 1 BGG ; Urteil 8C_67/2007 vom 25. September 2007,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