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9C_682/2013 vom 25. Februar 2014</w:t>
      </w:r>
    </w:p>
    <w:p>
      <w:r>
        <w:t>Bundesgericht, 2014-02-25, DE</w:t>
      </w:r>
    </w:p>
    <w:p>
      <w:r>
        <w:rPr>
          <w:b/>
        </w:rPr>
        <w:t xml:space="preserve">Quelle: </w:t>
      </w:r>
      <w:r>
        <w:t>https://mcp.opencaselaw.ch/entscheid/bger_9C_682_2013</w:t>
      </w:r>
    </w:p>
    <w:p>
      <w:r>
        <w:t>FR: TF 9C_682/2013 du 25 février 2014</w:t>
      </w:r>
    </w:p>
    <w:p>
      <w:r>
        <w:t>IT: TF 9C_682/2013 del 25 febbraio 2014</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Der Versicherungsträger kann auf formell rechtskräftige Verfügungen oder Einspracheentscheide zurückkommen, wenn diese zweifellos unrichtig sind und wenn ihre Berichtigung von erheblicher Bedeutung ist ( Art. 53 Abs. 2 ATSG [SR 830.1]).</w:t>
      </w:r>
    </w:p>
    <w:p>
      <w:r>
        <w:t>Vorausgesetzt ist, dass kein vernünftiger Zweifel an der Unrichtigkeit der Verfügung möglich, also nur dieser einzige Schluss denkbar ist (Urteile 9C_418/2010 vom 29. August 2011 E. 3.2, in: SVR 2012 IV Nr. 18 S. 81, und 9C_575/2007 vom 18. Oktober 2007 E. 2.2; je mit Hinweisen). Dieses Erfordernis ist zumeist erfüllt, wenn eine Leistungszusprache auf Grund falscher Rechtsregeln erfolgt ist oder wenn massgebliche Bestimmungen nicht oder unrichtig angewandt wurden (Urteile 8C_33/2013 vom 13. Dezember 2013 E. 4.1; 9C_649/2011 vom 28. Juni 2012 E. 3.3). Die Berichtigung einer zweifellos unrichtigen Verfügung ist stets von erheblicher Bedeutung, wenn sie periodische Leistungen zum Gegenstand hat ( BGE 119 V 475 E. 1c S. 480; Urteil 8C_586/2013 vom 23. Dezember 2013 E. 4.4, zur Publikation vorgesehen).</w:t>
      </w:r>
    </w:p>
    <w:p>
      <w:r>
        <w:rPr>
          <w:b/>
        </w:rPr>
        <w:t>E. 2.2</w:t>
      </w:r>
    </w:p>
    <w:p>
      <w:r>
        <w:t>Die Vorinstanz hat die Verfügung vom 2. April 2008 für zweifellos unrichtig gehalten. Diesbezüglich hat sie erwogen, für die Begründung eines Anspruchs auf eine ausserordentliche Invalidenrente ( Art. 39 IVG in Verbindung mit Art. 11 des Abkommens vom 1. Mai 1969 zwischen der Schweiz und der Republik Türkei über soziale Sicherheit [SR 0.831.109.763.1] resp. Art. 1 Abs. 2 des Bundesbeschlusses vom 4. Oktober 1962 über die Rechtsstellung der Flüchtlinge und Staatenlosen in der Alters-, Hinterlassenen- und Invalidenversicherung [SR 831.131.11]) fehle es an einer lückenlosen Beitragszahlung nach Vollendung des 20. Altersjahres ( Art. 39 Abs. 1 IVG in Verbindung mit Art. 42 Abs. 1 AHVG ), mithin ab Januar 2001 (recte: 1991). Folglich hat sie die Wiedererwägung der rentenzusprechenden Verfügung für zulässig gehalten.</w:t>
      </w:r>
    </w:p>
    <w:p>
      <w:r>
        <w:rPr>
          <w:b/>
        </w:rPr>
        <w:t>E. 2.3</w:t>
      </w:r>
    </w:p>
    <w:p>
      <w:r>
        <w:t>Es ist nicht ersichtlich und wird auch nicht geltend gemacht, dass die</w:t>
      </w:r>
    </w:p>
    <w:p>
      <w:r>
        <w:t>ausserordentliche Invalidenrente (Art. 39 f. IVG) rechtskonform zugesprochen worden sein soll (E. 2.2; vgl. auch Art. 39 Abs. 3 IVG ). Von diesem Anspruch zu unterscheiden und als eigenständiges Rechtsverhältnis (vgl. BGE 125 V 413 E. 1 S. 414 f.) zu prüfen ist eine allfällige Berechtigung auf eine</w:t>
      </w:r>
    </w:p>
    <w:p>
      <w:r>
        <w:t>ordentliche Invalidenrente ( Art. 36 ff. IVG ). Eine solche wurde mit Verfügung vom 2. April 2008 ausdrücklich verneint. Die Prüfung deren zweifelloser Unrichtigkeit kann sich daher von vornherein nicht auf die ordentliche Rente beziehen, weshalb die entsprechende Argumentation des Beschwerdeführers ins Leere zielt. Weiter steht fest und ist unbestritten, dass die Berichtigung der Verfügung vom 2. April 2008 von erheblicher Bedeutung ist. Die Vorinstanz hat die Wiedererwägung daher zu Recht bestätigt.</w:t>
      </w:r>
    </w:p>
    <w:p>
      <w:r>
        <w:rPr>
          <w:b/>
        </w:rPr>
        <w:t>E. 3.1.1</w:t>
      </w:r>
    </w:p>
    <w:p>
      <w:r>
        <w:t>Anspruch auf eine ordentliche Rente haben die rentenberechtigten Versicherten, die bei Eintritt der Invalidität während mindestens eines vollen Jahres Beiträge geleistet haben (Art. 36    Abs. 1 IVG in der bis 31. Dezember 2007 geltenden Fassung). Die Invalidität gilt als eingetreten, sobald sie die für die Begründung des Anspruchs auf die jeweilige Leistung erforderliche Art und Schwere erreicht hat ( Art. 4 Abs. 2 IVG ).</w:t>
      </w:r>
    </w:p>
    <w:p>
      <w:r>
        <w:t>Ist ein Versicherter zu mindestens 40 Prozent invalid, so hat er Anspruch auf eine Rente ( Art. 28 Abs. 1 IVG in der bis 31. Dezember 2007 geltenden Fassung). Der Rentenanspruch nach Artikel 28 entsteht frühestens in dem Zeitpunkt, in dem der Versicherte (a) mindestens zu 40 Prozent bleibend erwerbsunfähig ( Art. 7 ATSG ) geworden ist oder (b) während eines Jahres ohne wesentlichen Unterbruch durchschnittlich mindestens zu 40 Prozent arbeitsunfähig ( Art. 6 ATSG ) gewesen war ( Art. 29 Abs. 1 IVG in der bis 31. Dezember 2007 geltenden Fassung).</w:t>
      </w:r>
    </w:p>
    <w:p>
      <w:r>
        <w:rPr>
          <w:b/>
        </w:rPr>
        <w:t>E. 3.1.2</w:t>
      </w:r>
    </w:p>
    <w:p>
      <w:r>
        <w:t>Es war und ist unbestritten, dass spätestens ab 1. November 2007 die Leistungsvoraussetzungen von Art. 28 Abs. 1 und Art. 29 Abs. 1 lit. b aIVG (vgl. heute Art. 28 Abs. 1 IVG ) erfüllt waren. Streitig und zu prüfen ist, ob der Beschwerdeführer seit seiner Einreise in die Schweiz während wenigstens eines Jahres durchschnittlich mindestens 60 % arbeitsfähig war (vgl. Art. 28 Abs. 1 lit. b IVG ) und somit die massgebliche Invalidität erst nach Erfüllung des Beitragsjahres eintrat, was für die Entstehung des Anspruchs auf eine ordentliche Rente vorausgesetzt ist. Lässt sich diese anspruchsbegründende Tatsache (vgl. Art. 8 ZGB ) nicht mit überwiegender Wahrscheinlichkeit nachweisen, hat der Beschwerdeführer die Folgen der Beweislosigkeit zu tragen ( BGE 138 V 218 E. 6 S. 221 f.).</w:t>
      </w:r>
    </w:p>
    <w:p>
      <w:r>
        <w:rPr>
          <w:b/>
        </w:rPr>
        <w:t>E. 3.2.1</w:t>
      </w:r>
    </w:p>
    <w:p>
      <w:r>
        <w:t>Bei der Beurteilung der Arbeitsunfähigkeit stützt sich die Verwaltung und im Beschwerdefall das Gericht auf Unterlagen, welche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 BGE 132 V 93 E. 4 S. 99 f.).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3.2.2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 Die konkrete Beweiswürdigung stellt ebenfalls eine Tatfrage dar. Dagegen ist die Beachtung des Untersuchungsgrundsatzes und der Beweiswürdigungsregeln nach Art. 61 lit. c ATSG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3.2.3</w:t>
      </w:r>
    </w:p>
    <w:p>
      <w:r>
        <w:t>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(Botschaft des Bundesrates vom 28. Fe-bruar 2001 zur Totalrevision der Bundesrechtspflege, BBl 2001          S. 4338; MARKUS SCHOTT, Basler Kommentar, Bundesgerichtsgesetz,   2. Aufl. 2011, N. 9 f. zu Art. 97 BGG ). Es liegt noch keine offensichtliche Unrichtigkeit vor, nur weil eine andere Lösung ebenfalls in Betracht fällt, selbst wenn diese als die plausiblere erschiene (Urteil 9C_570/2007 vom 5. März 2008 E. 4.2).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Urteile 8C_5/2010 vom 24. März 2010       E. 1.2; 9C_368/2008 vom 11. September 2008 E. 4.2).</w:t>
      </w:r>
    </w:p>
    <w:p>
      <w:r>
        <w:rPr>
          <w:b/>
        </w:rPr>
        <w:t>E. 3.3</w:t>
      </w:r>
    </w:p>
    <w:p>
      <w:r>
        <w:t>Die Vorinstanz hat unter Verweis auf die medizinischen Unterlagen festgestellt, dass der Beschwerdeführer bereits bei seiner Entlassung aus dem Gefängnis im Oktober 2001 u.a. an einem Wernicke-Korsakow-Syndrom, einer posttraumatischen Belastungsstörung und an depressiven Beschwerden gelitten habe. Dass das volle Beschwerdebild in der Schweiz nicht sofort habe erhoben werden können, sei auf die Sprachbarriere und auf die für die Abklärung und Einleitung der indizierten Behandlungen erforderliche Zeit zurückzuführen. Nach einem somatischen Konsilium seien Anfangs Februar 2003 erste Hinweise auf eine posttraumatische Belastungsstörung aufgefallen; der Psychostatus habe erst mit Übernahme der Behandlung durch türkisch sprechende Ärzte zuverlässig erhoben werden können. Trotz der umständehalber schrittweise erfolgten Vervollständigung des Krankheitsbildes hätten die seit der Gefängnisentlassung von verschiedenen involvierten Fachärzten erhobenen Symptome und gestellten Diagnosen keine wesentliche Änderung erfahren. Klare ärztliche Angaben zur Arbeitsfähigkeit in der fraglichen Zeit fehlten zwar. Dieses Schweigen sei indessen darauf zurückzuführen, dass sich die Frage nach der Arbeitsfähigkeit vor der Anmeldung bei der Invalidenversicherung gar nicht gestellt habe. Aus dem im Wesentlichen unveränderten Gesundheitszustand lasse sich schliessen, dass der Beschwerdeführer bereits bei seiner Einreise in die Schweiz in erheblichem Mass arbeitsunfähig gewesen sei.</w:t>
      </w:r>
    </w:p>
    <w:p>
      <w:r>
        <w:rPr>
          <w:b/>
        </w:rPr>
        <w:t>E. 3.4.1</w:t>
      </w:r>
    </w:p>
    <w:p>
      <w:r>
        <w:t>Aus dem Bericht der Menschenrechtsstiftung Türkei, Zweigstelle Istanbul, vom 17. Dezember 2002 ergibt sich, dass sich der Beschwerdeführer seit längerem in Gefangenschaft befand, verbunden mit Folter und Hungerstreik, als er am 27. Oktober 2001 vorübergehend aus der Haft entlassen wurde, weil seine Strafe aus gesundheitlichen Gründen für sechs Monate ausgesetzt wurde. Ab Ende Oktober 2001 bis zum 12. Februar 2002 wurde er mehrmals, namentlich psychiatrisch, internistisch und neurologisch, behandelt. Es wurden u.a. "depressive Beschwerden", "posttraumatische Belastungsstörung", "Wernicke-Enzephalopathie" und "Proximalmuskelschwäche" diagnostiziert, was angesichts der angeführten Befunde nachvollziehbar ist (E. 3.2.1). Nach der im November 2002 erfolgten Einreise in die Schweiz begab sich der Beschwerdeführer in hausärztliche Behandlung, wo umgehend verschiedene spezialärztliche Untersuchungen veranlasst wurden. U.a. empfahl der externe psychiatrische Dienst am 10. April 2003 "dringend", den Patienten einem türkisch sprechenden Psychiater vorzustellen; ab September 2005 konnte eine entsprechende Behandlung etabliert werden, wobei der behandelnde Psychiater eine posttraumatische Belastungsstörung mit schwerer depressiver Symptomatik (ICD-10: F43.1) diagnostizierte und "in der freien Marktwirtschaft" eine vollständige Arbeitsunfähigkeit attestierte. Angesichts dieser Umstände sind die vorinstanzlichen Feststellungen (E. 3.3) nicht offensichtlich unrichtig (E. 3.2.3).</w:t>
      </w:r>
    </w:p>
    <w:p>
      <w:r>
        <w:rPr>
          <w:b/>
        </w:rPr>
        <w:t>E. 3.4.2</w:t>
      </w:r>
    </w:p>
    <w:p>
      <w:r>
        <w:t>Eine (vollständige) Arbeitsunfähigkeit wurde zwar erstmals am 13. April 2005 ärztlich attestiert. Die konkreten Gegebenheiten lassen daraus allerdings nicht schliessen, dass die Arbeitsfähigkeit zuvor höchstens unwesentlich (vgl. E. 3.1.2) beeinträchtigt war. Immerhin verneinte der zuständige türkische Fachmedizinausschuss eine Hafterstehungsfähigkeit bis April 2002. Weiter ist die posttraumatische Belastungsstörung gemäss ICD-10: F43.1 eine gravierende Diagnose mit einer Latenz von in der Regel höchstens sechs Monaten (Dilling/Freyberger [Hrsg.], Taschenführer zur ICD-10-Klassifikation psychischer Störungen, 6. Aufl. 2012, S. 173-175; http://www.dimdi.de/static/de/klassi/icd-10-who/kodesuche/onlinefas sungen/htmlamtl2013/block-f40-f48.htm), die - nebst anderen - bereits kurz nach der Haftentlassung fachärztlich gestellt wurde. Anhaltspunkte für eine vorübergehende erhebliche, mindestens ein Jahr dauernde Verbesserung des Gesundheitszustandes und der Arbeitsfähigkeit sind nicht ersichtlich. Die Angabe des Bruders des Beschwerdeführers, wonach dieser im normalen Leben ein geordnetes Verhalten zeige, keine Fehlhandlungen, und selbstständig in den Dingen des täglichen Lebens sei, genügt dafür jedenfalls ebenso wenig wie eine subjektive Einschätzung der Arbeitsfähigkeit.</w:t>
      </w:r>
    </w:p>
    <w:p>
      <w:r>
        <w:t>Zur expliziten Frage der IV-Stelle nach dem Zeitpunkt des Eintritts resp. dem Verlauf der Arbeitsunfähigkeit nahm der behandelnde Psychiater im Bericht vom 19. Februar 2007 keine Stellung; in jenem vom 16. April 2011 verwies er dazu im Wesentlichen in allgemeiner Art auf die Latenz von posttraumatischen Belastungsstörungen, welche Ausführungen indessen keine Rückschlüsse zu Gunsten des Beschwerdeführers erlauben (vgl. Dilling/Freyberger, a.a.O., S. 175). Auch der damalige Hausarzt Dr. med. A.________ konnte die Arbeitsfähigkeit für die Zeit nach der Einreise in die Schweiz nicht rückwirkend beurteilen (Bericht vom 8. August 2007). Schliesslich ist nicht ersichtlich, inwiefern die Dres. med. I.________, C.________, S.________ und K.________ diesbezüglich Angaben machen könnten, handelt es sich bei ihnen doch um Ärzte der Menschenrechtsstiftung Türkei in Istanbul, die den Beschwerdeführer seit Mitte Februar 2002 nicht mehr behandelten. Damit ist der Verzicht auf weitere Abklärungen in pflichtgemässer antizipierender Beweiswürdigung ( BGE 136 I 229 E. 5.3   S. 236 ; 134 I 140 E. 5.3 S. 148; 124 V 90 E. 4b S. 94) erfolgt.</w:t>
      </w:r>
    </w:p>
    <w:p>
      <w:r>
        <w:rPr>
          <w:b/>
        </w:rPr>
        <w:t>E. 3.4.3</w:t>
      </w:r>
    </w:p>
    <w:p>
      <w:r>
        <w:t>Nach dem Gesagten beruhen die vorinstanzlichen Feststellungen (E. 3.3) auch nicht auf einer Rechtsverletzung, weshalb sie für das Bundesgericht verbindlich bleiben (E. 1). Die Beschwerde ist unbegründet.</w:t>
      </w:r>
    </w:p>
    <w:p>
      <w:r>
        <w:rPr>
          <w:b/>
        </w:rPr>
        <w:t>E. 4</w:t>
      </w:r>
    </w:p>
    <w:p>
      <w:r>
        <w:t>Dem Ausgang des Verfahrens entsprechend hat der Beschwerdeführer grundsätzlich die Gerichtskosten zu tragen ( Art. 66 Abs. 1 BGG ). Seinem Gesuch um unentgeltliche Rechtspflege kann indessen entsprochen werden ( Art. 64 BGG ; BGE 125 V 201 E. 4a S. 202). Es wird ausdrücklich auf Art. 64 Abs. 4 BGG hingewiesen, wonach die begünstigte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