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9C_67/2009 vom 22. Oktober 2009</w:t>
      </w:r>
    </w:p>
    <w:p>
      <w:r>
        <w:t>Bundesgericht, 2009-10-22, FR</w:t>
      </w:r>
    </w:p>
    <w:p>
      <w:r>
        <w:rPr>
          <w:b/>
        </w:rPr>
        <w:t xml:space="preserve">Quelle: </w:t>
      </w:r>
      <w:r>
        <w:t>https://mcp.opencaselaw.ch/entscheid/bger_9C_67_2009</w:t>
      </w:r>
    </w:p>
    <w:p>
      <w:r>
        <w:t>FR: TF 9C_67/2009 du 22 octobre 2009</w:t>
      </w:r>
    </w:p>
    <w:p>
      <w:r>
        <w:t>IT: TF 9C_67/2009 del 22 ottobre 2009</w:t>
      </w:r>
    </w:p>
    <w:p>
      <w:pPr>
        <w:pStyle w:val="Heading2"/>
      </w:pPr>
      <w:r>
        <w:t>Erwägungen</w:t>
      </w:r>
    </w:p>
    <w:p>
      <w:r>
        <w:rPr>
          <w:b/>
        </w:rPr>
        <w:t>E. 1.1</w:t>
      </w:r>
    </w:p>
    <w:p>
      <w:r>
        <w:t>Le litige porte sur le point de savoir si l'intimé était tenu d'entrer en matière sur la demande de rente du 25 juin 2008, respectivement si le jugement entrepris, par lequel le bien-fondé du refus d'entrer en matière a été admis, est conforme au droit.</w:t>
      </w:r>
    </w:p>
    <w:p>
      <w:r>
        <w:rPr>
          <w:b/>
        </w:rPr>
        <w:t>E. 1.2</w:t>
      </w:r>
    </w:p>
    <w:p>
      <w:r>
        <w:t>Comme l'expose le jugement entrepris, en rappelant la teneur de l' art. 87 al. 3 et 4 RAI (en relation avec l' art. 17 LPGA ), lorsque la rente ou l'allocation pour impotent - ou encore, par analogie, les mesures de réadaptation ( ATF 109 V 119 )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 ATF 117 V 198 consid. 3a p. 198).</w:t>
      </w:r>
    </w:p>
    <w:p>
      <w:r>
        <w:rPr>
          <w:b/>
        </w:rPr>
        <w:t>E. 2.1</w:t>
      </w:r>
    </w:p>
    <w:p>
      <w:r>
        <w:t>Au regard du prononcé du 25 avril 2008 entré en force, qu'ils ont qualifié de décision de refus de toute prestation, les premiers juges ont considéré, à l'instar de l'administration, que la recourante n'avait pas rendu plausible que son état de santé s'était modifié de manière à influencer l'invalidité. Le nouvel avis médical qu'elle avait produit en procédure administrative n'avait pas mis en évidence une aggravation de son état de santé, mais constituait une appréciation différente de celui-ci. Aussi, était-ce à juste titre, toujours de l'avis des premiers juges, que l'intimé n'était pas entré en matière sur la nouvelle demande de la recourante.</w:t>
      </w:r>
    </w:p>
    <w:p>
      <w:r>
        <w:rPr>
          <w:b/>
        </w:rPr>
        <w:t>E. 2.2</w:t>
      </w:r>
    </w:p>
    <w:p>
      <w:r>
        <w:t>Les considérations de la juridiction cantonale ne sauraient être suivies. Les normes réglementaires et les principes jurisprudentiels sur les modalités de l'examen d'une nouvelle demande après que des prestations ont été refusées par une décision entrée en force ne concernent, selon leur sens et but exposés ci-avant (consid. 1.2 supra),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w:t>
      </w:r>
    </w:p>
    <w:p>
      <w:r>
        <w:t>Comme le fait valoir à juste titre la recourante, la première décision de l'intimé (du 25 avril 2008) portait uniquement sur le refus de mesures d'ordre professionnel, singulièrement d'un reclassement, en réponse à la demande initiale de la recourante, qui requérait une orientation professionnelle. Au regard tant de l'intitulé ("Refus de reclassement") que des bases légales citées ( art. 17 LAI sur le droit au reclassement) et des motifs de la décision, il apparaît que l'intimé s'est prononcé seulement sur le droit à la mesure de réadaptation mentionnée et non pas sur le droit à une rente d'invalidité. A cet égard, on ne saurait déduire, comme le fait à tort la juridiction cantonale, de la seule constatation dans la décision en cause selon laquelle l'assurée aurait été apte à reprendre son activité habituelle de concierge dès le 12 octobre 2005 que l'administration aurait statué sur le droit à la rente. Une telle décision, destinée à une assurée qui n'était à l'époque pas assistée d'un conseil juridique, aurait à tout le moins exigé que soient mentionnés les fondements légaux du droit à une rente et soit expliquée la notion d'invalidité, dont dépend ce droit. Par ailleurs, ce n'est qu'au moment de s'adresser la seconde fois à l'assurance-invalidité, par requête du 25 juin 2008, que la recourante a sollicité une rente après s'être vue refuser un reclassement professionnel. Dès lors qu'il s'agissait d'une nouvelle demande portant sur une prétention différente de celle qui a fait l'objet de la décision du 25 avril 2008, l'office AI était tenu d'entrer en matière sur la requête. Le recours se révèle en conséquence bien fondé.</w:t>
      </w:r>
    </w:p>
    <w:p>
      <w:r>
        <w:rPr>
          <w:b/>
        </w:rPr>
        <w:t>E. 3</w:t>
      </w:r>
    </w:p>
    <w:p>
      <w:r>
        <w:t>Compte tenu de l'issue du litige, les frais de procédure seront supportés par l'intimé ( art. 66 al. 1 LTF ). La recourante, qui obtient gain de cause, a droit à une indemnité de dépens à la charge de l'intimé ( art. 68 al. 1 LTF ), de sorte que la demande d'assistance judiciaire qu'elle a présentée pour l'instance fédérale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