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9C_678/2017 vom 11. Oktober 2017</w:t>
      </w:r>
    </w:p>
    <w:p>
      <w:r>
        <w:t>Bundesgericht, 2017-10-11, DE</w:t>
      </w:r>
    </w:p>
    <w:p>
      <w:r>
        <w:rPr>
          <w:b/>
        </w:rPr>
        <w:t xml:space="preserve">Quelle: </w:t>
      </w:r>
      <w:r>
        <w:t>https://mcp.opencaselaw.ch/entscheid/bger_9C_678_2017</w:t>
      </w:r>
    </w:p>
    <w:p>
      <w:r>
        <w:t>FR: TF 9C_678/2017 du 11 octobre 2017</w:t>
      </w:r>
    </w:p>
    <w:p>
      <w:r>
        <w:t>IT: TF 9C_678/2017 del 11 ottobre 2017</w:t>
      </w:r>
    </w:p>
    <w:p>
      <w:pPr>
        <w:pStyle w:val="Heading2"/>
      </w:pPr>
      <w:r>
        <w:t>Volltext</w:t>
      </w:r>
    </w:p>
    <w:p>
      <w:r>
        <w:t>Bundesgericht</w:t>
      </w:r>
    </w:p>
    <w:p>
      <w:r>
        <w:t>Tribunal fédéral</w:t>
      </w:r>
    </w:p>
    <w:p>
      <w:r>
        <w:t>Tribunale federale</w:t>
      </w:r>
    </w:p>
    <w:p>
      <w:r>
        <w:t>Tribunal federal</w:t>
      </w:r>
    </w:p>
    <w:p>
      <w:r>
        <w:t>9C_678/2017</w:t>
      </w:r>
    </w:p>
    <w:p>
      <w:r>
        <w:t>Urteil vom 11. Oktober 2017</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23. Februar 2017 (C-240/2016).</w:t>
      </w:r>
    </w:p>
    <w:p>
      <w:r>
        <w:t>Nach Einsicht</w:t>
      </w:r>
    </w:p>
    <w:p>
      <w:r>
        <w:t>in die Beschwerde vom 22. September 2017 gegen den Entscheid des Bundesverwaltungsgerichts vom 23. Februar 2017 und das Gesuch um unentgeltliche Rechtspflege,</w:t>
      </w:r>
    </w:p>
    <w:p>
      <w:r>
        <w:t>in Erwägung,</w:t>
      </w:r>
    </w:p>
    <w:p>
      <w:r>
        <w:t>dass die Beschwerde nicht innert der nach Art. 100 Abs. 1 BGG 30-tägigen, gemäss Art. 44-48 BGG - unter Berücksichtigung des Fristenstillstands über Ostern ( Art. 46 Abs. 1 lit. a BGG ) - am 24. April 2017 abgelaufenen Rechtsmittelfrist eingereicht worden ist,</w:t>
      </w:r>
    </w:p>
    <w:p>
      <w:r>
        <w:t>dass eine versäumte Frist gemäss Art. 50 Abs. 1 BGG auf Antrag hin wiederhergestellt werden kann, wenn die Gesuch stellende Person oder deren Vertretung unverschuldet abgehalten worden ist, fristgerecht zu handeln,</w:t>
      </w:r>
    </w:p>
    <w:p>
      <w:r>
        <w:t>dass in der Eingabe vom 22. September 2017 keine Gründe dargetan werden, welche nach der bundesgerichtlichen Rechtsprechung Anlass für eine Fristwiederherstellung bilden könnten, hat sich doch der Beschwerdeführer insbesondere das fehlerhafte Verhalten der von ihm beigezogenen Hilfspersonen anrechnen zu lassen ( BGE 114 Ib 67 E. 2e S. 75 f.; AMSTUTZ/ARNOLD, in: Basler Kommentar, Bundesgerichtsgesetz, 2. Aufl. 2011, N. 5 und 8 zu Art. 50 BGG ),</w:t>
      </w:r>
    </w:p>
    <w:p>
      <w:r>
        <w:t>dass die Vorinstanz überdies festgestellt hat, es müsse davon ausgegangen werden, dass dem Beschwerdeführer die Verfügung vom 31. März 2014 betreffend Rückvergütung von AHV-Beiträgen (in Höhe von Fr. 632.25) im April 2014 zugegangen sei, indessen kein rechtsgenüglicher Nachweis für eine rechtzeitige Einspracheerhebung (im April oder Mai 2014) vorliege,</w:t>
      </w:r>
    </w:p>
    <w:p>
      <w:r>
        <w:t>dass die Beschwerde den inhaltlichen Mindestanforderungen gemäss Art. 42 Abs. 1 und 2 BGG offensichtlich nicht genügt, da sie zwar einen Antrag ("Empfehlung") enthält, den Ausführungen jedoch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w:t>
      </w:r>
    </w:p>
    <w:p>
      <w:r>
        <w:t>dass im Übrigen die vom Versicherten beantragte "Wiederaufnahme" in die schweizerische Invalidenversicherung ausserhalb des Streitgegenstandes liegt,</w:t>
      </w:r>
    </w:p>
    <w:p>
      <w:r>
        <w:t>dass deshalb im vereinfachten Verfahren nach Art. 108 Abs. 1 lit. a und b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11. Oktober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