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9C_677/2020 vom 23. November 2020</w:t>
      </w:r>
    </w:p>
    <w:p>
      <w:r>
        <w:t>Bundesgericht, 2020-11-23, DE</w:t>
      </w:r>
    </w:p>
    <w:p>
      <w:r>
        <w:rPr>
          <w:b/>
        </w:rPr>
        <w:t xml:space="preserve">Quelle: </w:t>
      </w:r>
      <w:r>
        <w:t>https://mcp.opencaselaw.ch/entscheid/bger_9C_677_2020</w:t>
      </w:r>
    </w:p>
    <w:p>
      <w:r>
        <w:t>FR: TF 9C_677/2020 du 23 novembre 2020</w:t>
      </w:r>
    </w:p>
    <w:p>
      <w:r>
        <w:t>IT: TF 9C_677/2020 del 23 novembre 2020</w:t>
      </w:r>
    </w:p>
    <w:p>
      <w:pPr>
        <w:pStyle w:val="Heading2"/>
      </w:pPr>
      <w:r>
        <w:t>Volltext</w:t>
      </w:r>
    </w:p>
    <w:p>
      <w:r>
        <w:t>Bundesgericht</w:t>
      </w:r>
    </w:p>
    <w:p>
      <w:r>
        <w:t>Tribunal fédéral</w:t>
      </w:r>
    </w:p>
    <w:p>
      <w:r>
        <w:t>Tribunale federale</w:t>
      </w:r>
    </w:p>
    <w:p>
      <w:r>
        <w:t>Tribunal federal</w:t>
      </w:r>
    </w:p>
    <w:p>
      <w:r>
        <w:t>9C_677/2020</w:t>
      </w:r>
    </w:p>
    <w:p>
      <w:r>
        <w:t>Urteil vom 23. November 2020</w:t>
      </w:r>
    </w:p>
    <w:p>
      <w:r>
        <w:t>II. sozialrechtliche Abteilung</w:t>
      </w:r>
    </w:p>
    <w:p>
      <w:r>
        <w:t>Besetzung</w:t>
      </w:r>
    </w:p>
    <w:p>
      <w:r>
        <w:t>Bundesrichter Parrino, Präsident,</w:t>
      </w:r>
    </w:p>
    <w:p>
      <w:r>
        <w:t>Gerichtsschreiberin Oswald.</w:t>
      </w:r>
    </w:p>
    <w:p>
      <w:r>
        <w:t>Verfahrensbeteiligte</w:t>
      </w:r>
    </w:p>
    <w:p>
      <w:r>
        <w:t>A.________,</w:t>
      </w:r>
    </w:p>
    <w:p>
      <w:r>
        <w:t>Beschwerdeführer,</w:t>
      </w:r>
    </w:p>
    <w:p>
      <w:r>
        <w:t>gegen</w:t>
      </w:r>
    </w:p>
    <w:p>
      <w:r>
        <w:t>Ausgleichskasse des Kantons Thurgau, Rechts- und Einsprachedienst, St. Gallerstrasse 11, 8500 Frauenfeld,</w:t>
      </w:r>
    </w:p>
    <w:p>
      <w:r>
        <w:t>Beschwerdegegnerin.</w:t>
      </w:r>
    </w:p>
    <w:p>
      <w:r>
        <w:t>Gegenstand</w:t>
      </w:r>
    </w:p>
    <w:p>
      <w:r>
        <w:t>Ergänzungsleistung zur AHV/IV,</w:t>
      </w:r>
    </w:p>
    <w:p>
      <w:r>
        <w:t>Beschwerde gegen den Entscheid des Verwaltungsgerichts des Kantons Thurgau</w:t>
      </w:r>
    </w:p>
    <w:p>
      <w:r>
        <w:t>vom 23. September 2020 (VV.2020.108/E).</w:t>
      </w:r>
    </w:p>
    <w:p>
      <w:r>
        <w:t>Nach Einsicht</w:t>
      </w:r>
    </w:p>
    <w:p>
      <w:r>
        <w:t>in die Beschwerde vom 26. Oktober 2020 (Poststempel) gegen den Entscheid des Verwaltungsgerichts des Kantons Thurgau vom 23. September 2020,</w:t>
      </w:r>
    </w:p>
    <w:p>
      <w:r>
        <w:t>in die weiteren Eingaben vom 5. November 2020 sowie vom 11. November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Eingaben des Beschwerdeführers diesen inhaltlichen Mindestanforderungen nicht genügen, da sie keinen rechtsgenüglichen Antrag enthalten und den Ausführungen nicht entnommen werden kann, inwiefern die Sachverhaltsfeststellungen der Vorinstanz im Sinne von Art. 97 Abs. 1 BGG - soweit überhaupt beanstandet - unzutreffend und die darauf beruhenden Erwägungen rechtsfehlerhaft sein sollen,</w:t>
      </w:r>
    </w:p>
    <w:p>
      <w:r>
        <w:t>dass die Korrespondenz angesichts ihrer beleidigenden Äusserungen auch rechtsmissbräuchlich ist,</w:t>
      </w:r>
    </w:p>
    <w:p>
      <w:r>
        <w:t>dass deshalb im vereinfachten Verfahren nach Art. 108 Abs. 1 lit. b und c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23. November 2020</w:t>
      </w:r>
    </w:p>
    <w:p>
      <w:r>
        <w:t>Im Namen der II. sozialrechtlichen Abteilung</w:t>
      </w:r>
    </w:p>
    <w:p>
      <w:r>
        <w:t>des Schweizerischen Bundesgerichts</w:t>
      </w:r>
    </w:p>
    <w:p>
      <w:r>
        <w:t>Der Präsident: Parrino</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