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9C_676/2018 vom 27. November 2018</w:t>
      </w:r>
    </w:p>
    <w:p>
      <w:r>
        <w:t>Bundesgericht, 2018-11-27, FR</w:t>
      </w:r>
    </w:p>
    <w:p>
      <w:r>
        <w:rPr>
          <w:b/>
        </w:rPr>
        <w:t xml:space="preserve">Quelle: </w:t>
      </w:r>
      <w:r>
        <w:t>https://mcp.opencaselaw.ch/entscheid/bger_9C_676_2018</w:t>
      </w:r>
    </w:p>
    <w:p>
      <w:r>
        <w:t>FR: TF 9C_676/2018 du 27 novembre 2018</w:t>
      </w:r>
    </w:p>
    <w:p>
      <w:r>
        <w:t>IT: TF 9C_676/2018 del 27 novembre 2018</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w:t>
      </w:r>
    </w:p>
    <w:p>
      <w:r>
        <w:rPr>
          <w:b/>
        </w:rPr>
        <w:t>E. 2.1</w:t>
      </w:r>
    </w:p>
    <w:p>
      <w:r>
        <w:t>Le litige porte sur le point de savoir si la juridiction cantonale était fondée à confirmer le refus de l'office intimé d'entrer en matière sur la nouvelle demande du recourant datée du 4 juillet 2017.</w:t>
      </w:r>
    </w:p>
    <w:p>
      <w:r>
        <w:rPr>
          <w:b/>
        </w:rPr>
        <w:t>E. 2.2</w:t>
      </w:r>
    </w:p>
    <w:p>
      <w:r>
        <w:t>En vertu de l' art. 87 al. 2 et 3 RAI ,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 p. 198). Sous l'angle temporel, la comparaison des états de fait a pour point de départ la situation telle qu'elle se présentait au moment où l'administration a rendu sa dernière décision entrée en force, reposant sur un examen matériel du droit à la prestation d'assurance ( ATF 130 V 71 consid. 3 p. 73 ss).</w:t>
      </w:r>
    </w:p>
    <w:p>
      <w:r>
        <w:rPr>
          <w:b/>
        </w:rPr>
        <w:t>E. 3.1</w:t>
      </w:r>
    </w:p>
    <w:p>
      <w:r>
        <w:t>Se référant à un arrêt qu'elle a rendu le 2 mai 2017 dans une cause opposant le recourant à la CNA, la juridiction cantonale a constaté que l'assuré souffrait d'une affection psychiatrique ("dystonie psychogène, autrement appelée trouble fonctionnel ou trouble dissociatif mixte"). Elle avait alors statué sur un recours contre une décision sur opposition de la CNA du 21 décembre 2015 concernant la prise en charge de frais de traitement et la révision du droit à la rente d'invalidité (de 16 %), reconnue au recourant à partir du 1er août 2011 (décisions de la CNA des 26 août 2011 et 22 septembre 2014). Elle avait considéré que l'affection psychiatrique n'était pas en lien de causalité adéquate avec l'accident du 9 septembre 2009, de sorte qu'elle n'entraînait aucune prise en charge de la part de la CNA.</w:t>
      </w:r>
    </w:p>
    <w:p>
      <w:r>
        <w:t>Les premiers juges ont retenu que le diagnostic psychique alors reconnu rejoignait celui posé par le docteur E.________, qui avait fait état d'un trouble de conversion (F44). Selon eux, comme leur arrêt du 2 mai 2017 n'avait pas été contesté par le recourant, il y avait lieu d'admettre que "la présence de cette affection psychiatrique était bien présente et admise par le recourant à cette époque déjà". Elle ressortait également d'une expertise de la CRR du 17 avril 2014. Aussi, l'assuré présentait bien une importante auto-limitation de ses mouvements qui trouvait son origine à la fois dans des troubles de nature psychique et dans une attitude de manque de confiance et de revendication envers le corps médical. Cependant, de l'avis des premiers juges, ces troubles avaient déjà été mis en évidence "tout au long des diverses instructions à la base de ce dossier complexe", de sorte qu'ils n'étaient pas nouveaux et ne justifiaient pas d'entrer en matière sur la nouvelle demande du recourant.</w:t>
      </w:r>
    </w:p>
    <w:p>
      <w:r>
        <w:rPr>
          <w:b/>
        </w:rPr>
        <w:t>E. 3.2</w:t>
      </w:r>
    </w:p>
    <w:p>
      <w:r>
        <w:t>Comme le fait valoir à juste titre le recourant, les considérations de la juridiction cantonale reposent sur une violation de l' art. 87 al. 2 et 3 RAI et la jurisprudence y relative. En se référant aux constatations de son arrêt du 2 mai 2017 sur l'existence de troubles psychiques pour en déduire que ceux-ci ne sont pas nouveaux pour la procédure de l'assurance-invalidité, l'autorité judiciaire de première instance oppose en quelque sorte au recourant l'entrée en force de l'examen matériel du droit aux prestations en matière d'assurance-accidents. Ce faisant, elle omet de prendre en considération que le point de départ de l'examen de la question litigieuse dans la procédure de l'assurance-invalidité - dans laquelle le recourant fait valoir une prestation différente de celles faisant l'objet de la procédure de l'assurance-accidents - est la décision du 21 août 2012 (supra consid. 2.2 in fine). Par conséquent, des troubles psychiques survenus postérieurement à cette date, conformément aux constatations de la juridiction cantonale, constituent un élément nouveau susceptible de rendre plausible une aggravation de l'état de santé du recourant.</w:t>
      </w:r>
    </w:p>
    <w:p>
      <w:r>
        <w:t>Le renvoi que fait par ailleurs la juridiction cantonale à son arrêt du 27 juin 2014, en considérant "par surabondance" que les troubles psychiques y avaient fait l'objet d'une analyse fouillée de sa part n'y change rien. Il ressort de ce jugement que le refus de rente prononcé le 21 août 2012 a été confirmé en raison (notamment) de l'absence d'un "diagnostic psychique ayant valeur de maladie avec incidence sur la capacité de travail". A l'époque, la juridiction cantonale avait fait siennes les conclusions de l'expertise du CEMed du 27 avril 2012, selon lesquelles seul le diagnostic de majoration de symptômes physiques pour des raisons psychologiques (F68.0), sans répercussion sur la capacité de travail, pouvait être retenu. Les diagnostics psychiques posés par la suite par d'autres médecins - et constatés par la juridiction cantonale dans son jugement en matière d'assurance-accidents du 2 mai 2017 - n'avaient pas été évoqués par la doctoresse C.________. Ils correspondent dès lors à une nouvelle atteinte à la santé par rapport à la situation prévalant en août 2012. Cette considération est du reste confortée par l'avis du SMR du 20 juillet 2017, selon lequel le diagnostic de trouble de conversion attesté par le docteur E.________ avait déjà été "posé par une psychiatre il y a trois ans", soit par la doctoresse G.________ de la CRR dans son rapport du 17 avril 2014. Ce diagnostic a donc été évoqué pour la première fois à une époque postérieure à la décision du 21 août 2012, étant précisé, au demeurant, que le rapport de la CRR, établi au cours de la procédure de l'assurance-accidents, n'a pas fait l'objet d'un examen de la juridiction cantonale à l'occasion de son jugement du 27 juin 2014.</w:t>
      </w:r>
    </w:p>
    <w:p>
      <w:r>
        <w:rPr>
          <w:b/>
        </w:rPr>
        <w:t>E. 3.3</w:t>
      </w:r>
    </w:p>
    <w:p>
      <w:r>
        <w:t>En tant que la juridiction cantonale justifie ensuite la non-entrée en matière sur la nouvelle demande par le fait que pour le trouble de conversion, "le recourant n'a pas apporté de preuve suffisante de son aggravation, au point où sa capacité de travail en serait affectée" (consid. 5.4.2 du jugement entrepris), elle ne peut pas être suivie. Lorsqu'elle retient qu'il n'est guère possible de tirer des avis médicaux transmis par le recourant depuis 2015 de conclusions significatives "à valeur de preuve" quant aux répercussions sur la capacité de travail, l'autorité de recours de première instance méconnaît que les exigences de preuves dans le cadre de l' art. 87 al. 2 et 3 RAI sont sensiblement réduites. La conviction de l'administration ou du juge n'a pas besoin d'être fondée sur la preuve pleinement apportée qu'une modification déterminante est survenue depuis le moment de la décision de refus de rente; des indices d'une telle modification suffisent alors même que la possibilité subsiste qu'une instruction plus poussée ne permettra pas de l'établir (arrêt I 724/99 du 5 octobre 2001 consid. 1c/aa non publié in ATF 127 V 294 ; arrêt 9C_881/2007 du 22 février 2009 consid. 2.2 et les références).</w:t>
      </w:r>
    </w:p>
    <w:p>
      <w:r>
        <w:t>A cet égard, si le docteur E.________ ne prend pas position sur la capacité de travail du recourant - indiquant toutefois lui avoir "fait des certificats du mois de juillet, août et septembre" (rapport du 15 septembre 2016) -, le docteur H.________, spécialiste en psychiatrie et psychothérapie et médecin traitant, a mentionné "un effet très important [du trouble de conversion sensitivomoteur F44.7] sur la capacité de travail" et considéré que son patient n'était pas capable d'assumer un travail à 100 % (rapport du 8 août 2017). Il a réitéré par la suite que ce trouble avait une influence sur la capacité de travail et préconisé une "expertise par un expert neutre" (courrier au conseil du recourant du 12 octobre 2017). Ces constatations médicales ne sont certes pas suffisantes pour se prononcer de manière définitive sur les effets du diagnostic psychiatrique posé sur la capacité de travail du recourant. Elles rendent toutefois plausible une aggravation de l'état de santé du recourant sur le plan psychique susceptible de limiter sa capacité de travail. Les considérations de la juridiction cantonale sur le comportement du recourant, sa méfiance envers le corps médical et son manque de diligence en relation avec l'obligation de diminuer le dommage ne permettent pas de nier la survenance d'éléments médicaux nouveaux depuis la décision du 21 août 2012, les facteurs évoqués devant, le cas échéant, faire l'objet d'une appréciation globale en relation avec les conditions du droit aux prestations de l'assurance-invalidité.</w:t>
      </w:r>
    </w:p>
    <w:p>
      <w:r>
        <w:rPr>
          <w:b/>
        </w:rPr>
        <w:t>E. 3.4</w:t>
      </w:r>
    </w:p>
    <w:p>
      <w:r>
        <w:t>Il découle de ce qui précède que la juridiction cantonale n'était pas en droit de nier que les conditions de l' art. 87 al. 2 et 3 RAI quant à l'entrée en matière sur une nouvelle demande étaient réalisées. Par conséquent, le jugement entrepris ainsi que la décision administrative litigieuse doivent être annulés et la cause renvoyée à l'office intimé pour qu'il entre en matière sur la demande de prestations et en examine tous les aspects médicaux et juridiques, puis rende une nouvelle décision.</w:t>
      </w:r>
    </w:p>
    <w:p>
      <w:r>
        <w:rPr>
          <w:b/>
        </w:rPr>
        <w:t>E. 4</w:t>
      </w:r>
    </w:p>
    <w:p>
      <w:r>
        <w:t>Vu l'issue du litige, les frais et dépens afférents à la présente procédure seront supportés par l'office intimé, qui succombe ( art. 66 al. 1 LTF ). Le recourant, qui obtient gain de cause, a droit à une indemnité de dépens à la charge de l'office 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