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9C_675/2011 vom 28. März 2012</w:t>
      </w:r>
    </w:p>
    <w:p>
      <w:r>
        <w:t>Bundesgericht, 2012-03-28, DE</w:t>
      </w:r>
    </w:p>
    <w:p>
      <w:r>
        <w:rPr>
          <w:b/>
        </w:rPr>
        <w:t xml:space="preserve">Quelle: </w:t>
      </w:r>
      <w:r>
        <w:t>https://mcp.opencaselaw.ch/entscheid/bger_9C_675_2011</w:t>
      </w:r>
    </w:p>
    <w:p>
      <w:r>
        <w:t>FR: TF 9C_675/2011 du 28 mars 2012</w:t>
      </w:r>
    </w:p>
    <w:p>
      <w:r>
        <w:t>IT: TF 9C_675/2011 del 28 marzo 2012</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w:t>
      </w:r>
    </w:p>
    <w:p>
      <w:r>
        <w:t>Das Bundesgericht wendet das Recht von Amtes wegen an ( Art. 106 Abs. 1 BGG ).</w:t>
      </w:r>
    </w:p>
    <w:p>
      <w:r>
        <w:rPr>
          <w:b/>
        </w:rPr>
        <w:t>E. 2</w:t>
      </w:r>
    </w:p>
    <w:p>
      <w:r>
        <w:t>Die Vorinstanz gelangte zum Ergebnis, die Freizügigkeitsstiftung habe aufgrund der vorgelegten, anscheinend korrekt beglaubigten Unterschriften keine Anhaltspunkte für eine Fälschung gehabt. Damit hätten ihr auch keine weitergehenden, über die Unterschriftsprüfung hinausgehenden Sorgfaltspflichten oblegen, wie etwa die vom Beschwerdeführer postulierte Pflicht, die Aktualität der angegebenen Wohnadresse oder den Inhaber des Auszahlungskontos zu überprüfen. Da der Beschwerdegegnerin keine Sorgfaltspflichtverletzung vorgeworfen werden könne, fehle es an einer zentralen Voraussetzung des eingeklagten Anspruchs.</w:t>
      </w:r>
    </w:p>
    <w:p>
      <w:r>
        <w:t>Der Beschwerdeführer stellt sich auf den Standpunkt, die Vorinstanz habe die gebotene Sorgfalt falsch beurteilt, insbesondere in willkürlicher Weise das für Banken geltende Mass angewendet. Die Beschwerdegegnerin habe ihre Sorgfaltspflicht in mehrfacher Hinsicht verletzt. Es sei bundesrechtswidrig, dass die Vorinstanz die Frage nach der Notwendigkeit einer Beglaubigung offengelassen und die Beweiswürdigung darüber unterlassen habe, ob eine solche korrekt erfolgt sei.</w:t>
      </w:r>
    </w:p>
    <w:p>
      <w:r>
        <w:t>Nach Auffassung der Beschwerdegegnerin sind die Anspruchsvoraussetzungen nicht erfüllt. Das kantonale Gericht habe kein Bundesrecht verletzt, wenn es erkannt habe, dass sie sich jedenfalls exkulpieren könne. Selbst wenn das Bundesgericht - wider Erwarten - zum Schluss gelangen sollte, sie habe unsorgfältig gehandelt, wäre die Klage abzuweisen, weil es am Nachweis der übrigen Anspruchsvoraussetzungen fehle.</w:t>
      </w:r>
    </w:p>
    <w:p>
      <w:r>
        <w:rPr>
          <w:b/>
        </w:rPr>
        <w:t>E. 3</w:t>
      </w:r>
    </w:p>
    <w:p>
      <w:r>
        <w:t>Ein Freizügigkeitskonto wird im Rahmen der Säule 2b durch einen privatrechtlichen Vorsorgevertrag begründet, der rechtsdogmatisch den Innominatverträgen zuzuordnen ist ( BGE 129 III 305 E. 2.2 S. 307 mit Hinweisen auf BGE 118 V 229 E. 4b S. 232 und 122 V 142 E. 4b S. 145). Es stellt sich die Frage, ob die Beschwerdegegnerin gestützt auf das Schreiben des Patronato Z.________ vom 7. Januar 2009 das Freizügigkeitskonto des Beschwerdeführers mit befreiender Wirkung saldieren konnte.</w:t>
      </w:r>
    </w:p>
    <w:p>
      <w:r>
        <w:rPr>
          <w:b/>
        </w:rPr>
        <w:t>E. 3.1</w:t>
      </w:r>
    </w:p>
    <w:p>
      <w:r>
        <w:t>Der Beschwerdeführer und die Vorinstanz bezeichnen den eingeklagten Betrag fälschlicherweise als Schaden, der dem Beschwerdeführer infolge unsorgfältigen Handelns der Beschwerdegegnerin entstanden sein soll. Tatsächlich verlangt der Beschwerdeführer Erfüllung eines Vertrags. Das Rechtsbegehren in der Klage geht denn auch in diese Richtung, lautet es doch auf Erbringung der Austrittsleistung. Die Beschwerdegegnerin ist aufgrund der vertraglichen Vereinbarung, die zur Errichtung des Freizügigkeitskontos geführt hat, gehalten, dem Beschwerdeführer auf sein Verlangen hin das bestehende Guthaben gemäss Vertrags- resp. Reglementsbedingungen auszuzahlen. Mit anderen Worten hat die Schuldnerin dem Gläubiger zu leisten. Leistet sie einem unberechtigten Dritten, so hat sie grundsätzlich nicht erfüllt, und zwar auch dann, wenn sie in gutem Glauben leistet (Urteil 4A_536/2008 vom 10. Februar 2009 E. 5.2 mit Hinweis auf BGE 132 III 449 E. 2 S. 452, 112 II 450 E. 3a S. 454, 111 II 263 E. 1 S. 265, 108 II 314 E. 2 S. 315 f.; GAUCH/SCHLUEP/SCHMID/EMMENEGGER, Schweizerisches Obligationenrecht, Allgemeiner Teil, Bd. II, 9. Aufl. 2008, S. 11 Rz. 2072 f. und S. 14 Rz. 2093; URS LEU, Basler Kommentar, 5. Aufl. 2011, N. 7 zu Art. 68 OR ; ROLF H. WEBER, Berner Kommentar, 2. Aufl. 2005, N. 121 zu Art. 68 OR ; MARIUS SCHRANER, Zürcher Kommentar, 3. Aufl. 2000, N. 117 zu Art. 68 OR ; VON TUHR/ESCHER, Allgemeiner Teil des Schweizerischen Obligationenrechts, Bd. II, 3. Aufl. 1974, S. 21 f.). Der Fall unterscheidet sich vom Sachverhalt, der in BGE 130 V 103 zu beurteilen war.</w:t>
      </w:r>
    </w:p>
    <w:p>
      <w:r>
        <w:rPr>
          <w:b/>
        </w:rPr>
        <w:t>E. 3.2</w:t>
      </w:r>
    </w:p>
    <w:p>
      <w:r>
        <w:t>Der Nachweis richtiger Erfüllung des Vertrags obliegt der Vertragsschuldnerin. Nach dem Gesagten trägt sie in der Regel das Risiko einer Leistung an einen Unberechtigten. Ob und inwieweit eine Überwälzung dieses Risikos auf den Beschwerdeführer zulässig ist, kann offenbleiben, da die Beschwerdegegnerin eine solche nicht geltend macht und auch keine entsprechende Vertragsklausel aktenkundig ist.</w:t>
      </w:r>
    </w:p>
    <w:p>
      <w:r>
        <w:rPr>
          <w:b/>
        </w:rPr>
        <w:t>E. 4</w:t>
      </w:r>
    </w:p>
    <w:p>
      <w:r>
        <w:t>Die Beschwerdegegnerin hat im vorinstanzlichen Verfahren wiederholt bestritten, dass Vollmacht und Auszahlungsantrag gefälscht seien. In der Beschwerdeantwort bekräftigt sie diese Bestreitung. Die Vorinstanz hat nicht geprüft, inwieweit es sich um Fälschungen handelt. So spricht sie lediglich von "(vermutlich) gefälschten Unterschriften" bzw. "mutmasslich gefälschten Unterschriften". In Anbetracht der Erwägung 3.1 ist entscheidrelevant, ob und inwieweit die fraglichen Unterschriften gefälscht sind. Allenfalls bedarf es diesbezüglich, wie die Beschwerdegegnerin in der Klageantwort festgehalten hat, eines Schriftgutachtens (v.a. wenn die Strafakten nicht ergiebig sind). Die Sache ist daher an das kantonale Gericht zurückzuweisen, damit es den Sachverhalt vollständig ermittle und ergänze sowie - nach Gewährung des rechtlichen Gehörs - neu über die Streitsache entscheide.</w:t>
      </w:r>
    </w:p>
    <w:p>
      <w:r>
        <w:rPr>
          <w:b/>
        </w:rPr>
        <w:t>E. 5</w:t>
      </w:r>
    </w:p>
    <w:p>
      <w:r>
        <w:t>Dem Ausgang des Verfahrens entsprechend hat die Beschwerdegegnerin die Gerichtskosten zu tragen ( Art. 66 Abs. 1 BGG ) und dem Beschwerdeführer eine Parteientschädigung zu bezahlen ( Art. 68 Abs. 1 und 2 BGG ). Dieser gilt aufgrund der angeordneten Rückweisung als obsiegende Partei ( BGE 132 V 215 E. 6.2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