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9C_674/2015 vom 28. September 2015</w:t>
      </w:r>
    </w:p>
    <w:p>
      <w:r>
        <w:t>Bundesgericht, 2015-09-28, DE</w:t>
      </w:r>
    </w:p>
    <w:p>
      <w:r>
        <w:rPr>
          <w:b/>
        </w:rPr>
        <w:t xml:space="preserve">Quelle: </w:t>
      </w:r>
      <w:r>
        <w:t>https://mcp.opencaselaw.ch/entscheid/bger_9C_674_2015</w:t>
      </w:r>
    </w:p>
    <w:p>
      <w:r>
        <w:t>FR: TF 9C_674/2015 du 28 septembre 2015</w:t>
      </w:r>
    </w:p>
    <w:p>
      <w:r>
        <w:t>IT: TF 9C_674/2015 del 28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9C_674/2015 {T 0/2}</w:t>
      </w:r>
    </w:p>
    <w:p>
      <w:r>
        <w:t>Urteil vom 28. September 2015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Williner.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Gemeinde Wetzikon,</w:t>
      </w:r>
    </w:p>
    <w:p>
      <w:r>
        <w:t>Bahnhofstrasse 167, 8620 Wetzikon,</w:t>
      </w:r>
    </w:p>
    <w:p>
      <w:r>
        <w:t>Beschwerdegegnerin.</w:t>
      </w:r>
    </w:p>
    <w:p>
      <w:r>
        <w:t>Gegenstand</w:t>
      </w:r>
    </w:p>
    <w:p>
      <w:r>
        <w:t>Ergänzungsleistung zur AHV/IV,</w:t>
      </w:r>
    </w:p>
    <w:p>
      <w:r>
        <w:t>Beschwerde gegen den Entscheid des Sozialversicherungsgerichts des Kantons Zürich vom 10. Juli 2015.</w:t>
      </w:r>
    </w:p>
    <w:p>
      <w:r>
        <w:t>Nach Einsicht</w:t>
      </w:r>
    </w:p>
    <w:p>
      <w:r>
        <w:t>in die Beschwerde vom 15. September 2015 (Poststempel) gegen den Entscheid des Sozialversicherungsgerichts des Kantons Zürich vom 10. Juli 2015,</w:t>
      </w:r>
    </w:p>
    <w:p>
      <w:r>
        <w:t>in Erwägung,</w:t>
      </w:r>
    </w:p>
    <w:p>
      <w:r>
        <w:t>dass die am 15. September 2015 der Post übergebene Beschwerde mit Blick auf die am 17. Juli 2015 versuchte Zustellung ( BGE 134 V 49 ) nicht innert der nach Art. 100 Abs. 1 BGG 30-tägigen, gemäss Art. 44 - 48 BGG am 14. September 2015 abgelaufenen Rechtsmittelfrist ( BGE 131 V 305 ) eingereicht worden ist, woran sich im Übrigen nichts änderte, wenn auf die effektive Zustellung von Ende Juli abgestellt würde,</w:t>
      </w:r>
    </w:p>
    <w:p>
      <w:r>
        <w:t>dass die Beschwerde überdies den Mindestanforderungen an ein Rechtsmittel gemäss Art. 42 Abs. 1 und 2 BGG nicht genügt, da den Ausführungen nicht entnommen werden kann, inwiefern die vorinstanzliche Beweiswürdigung und Sachverhaltsfeststellung im Sinne von Art. 97 Abs. 1 BGG auf einer Rechtsverletzung beruhen oder qualifiziert unzutreffend (unhaltbar, willkürlich: BGE 140 V 22 E. 7.3.1 S. 39; 135 II 145 E. 8.1 S. 153; Urteil 9C_607/2012 vom 17. April 2013 E. 5.2) oder die darauf beruhenden Erwägungen - insbesondere diejenigen, wonach der vereinbarte Mietzins offensichtlich übersetzt und die darauf beruhende Berechnung der Zusatzleistungen zweifellos unrichtig im wiedererwägungsrechtlichen Sinne ist - rechtsfehlerhaft im Sinne von Art. 95 BGG sein sollen,</w:t>
      </w:r>
    </w:p>
    <w:p>
      <w:r>
        <w:t>dass aus diesen Gründen im vereinfachten Verfahren nach Art. 108 Abs. 1 lit. a und b sowie Abs. 2 BGG auf die Beschwerde nicht einzutreten ist und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28. September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